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BewG — Bewertungsstichtag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35 ist seit 01.01.2025 nicht mehr im BewG enthalten. Angezeigt wird die letzte bekannte Fassung, Stand 10.06.2019.</w:t>
      </w:r>
    </w:p>
    <w:p>
      <w:r>
        <w:t xml:space="preserve">(1) Für die Größe des Betriebs sowie für den Umfang und den Zustand der Gebäude und der stehenden Betriebsmittel sind die Verhältnisse im Feststellungszeitpunkt maßgebend.</w:t>
      </w:r>
    </w:p>
    <w:p>
      <w:r>
        <w:t xml:space="preserve">(2) Für die umlaufenden Betriebsmittel ist der Stand am Ende des Wirtschaftsjahres maßgebend, das dem Feststellungszeitpunkt vorangegangen ist.</w:t>
      </w:r>
    </w:p>
    <w:p>
      <w:r>
        <w:rPr>
          <w:color w:val="555555"/>
          <w:sz w:val="17"/>
        </w:rPr>
        <w:t xml:space="preserve">Zitiervorschlag: § 35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