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BewG — Bewertung von ausländischem Sachvermögen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Bewertung des ausländischen land- und forstwirtschaftlichen Vermögens, Grundvermögens und Betriebsvermögens gelten die Vorschriften des Ersten Teils dieses Gesetzes, insbesondere § 9 (gemeiner Wert). Nach diesen Vorschriften sind auch die ausländischen Teile einer wirtschaftlichen Einheit zu bewerten, die sich sowohl auf das Inland als auch auf das Ausland erstreckt.</w:t>
      </w:r>
    </w:p>
    <w:p>
      <w:r>
        <w:t xml:space="preserve">(2) Bei der Bewertung von ausländischem Grundbesitz sind Bestandteile und Zubehör zu berücksichtigen. Zahlungsmittel, Geldforderungen, Wertpapiere und Geldschulden sind nicht einzubeziehen.</w:t>
      </w:r>
    </w:p>
    <w:p>
      <w:r>
        <w:rPr>
          <w:color w:val="555555"/>
          <w:sz w:val="17"/>
        </w:rPr>
        <w:t xml:space="preserve">Zitiervorschlag: § 31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