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BewG — Auskünfte, Erhebungen und Mitteilungen</w:t>
      </w:r>
    </w:p>
    <w:p>
      <w:r>
        <w:rPr>
          <w:color w:val="555555"/>
          <w:sz w:val="18"/>
        </w:rPr>
        <w:t xml:space="preserve">Bewertungsgesetz</w:t>
      </w:r>
    </w:p>
    <w:p>
      <w:r>
        <w:rPr>
          <w:color w:val="555555"/>
          <w:sz w:val="18"/>
        </w:rPr>
        <w:t xml:space="preserve">Außer Kraft: § 29 ist seit 01.01.2025 nicht mehr im BewG enthalten. Angezeigt wird die letzte bekannte Fassung, Stand 12.12.2024.</w:t>
      </w:r>
    </w:p>
    <w:p>
      <w:r>
        <w:t xml:space="preserve">(1) Die Eigentümer von Grundbesitz haben der Finanzbehörde auf Anforderung alle Angaben zu machen, die sie für die Sammlung der Kauf-, Miet- und Pachtpreise braucht. Bei dieser Erklärung ist zu versichern, daß die Angaben nach bestem Wissen und Gewissen gemacht sind.</w:t>
      </w:r>
    </w:p>
    <w:p>
      <w:r>
        <w:t xml:space="preserve">(2) Die Finanzbehörden können zur Vorbereitung einer Hauptfeststellung und zur Durchführung von Feststellungen der Einheitswerte des Grundbesitzes örtliche Erhebungen über die Bewertungsgrundlagen anstellen. Das Grundrecht der Unverletzlichkeit der Wohnung (Artikel 13 des Grundgesetzes) wird insoweit eingeschränkt.</w:t>
      </w:r>
    </w:p>
    <w:p>
      <w:r>
        <w:t xml:space="preserve">(3) Die nach Bundes- oder Landesrecht zuständigen Behörden haben den Finanzbehörden die rechtlichen und tatsächlichen Umstände mitzuteilen, die ihnen im Rahmen ihrer Aufgabenerfüllung bekannt geworden sind und die für die Feststellung von Einheitswerten des Grundbesitzes, für die Feststellung von Grundbesitzwerten oder für die Grundsteuer von Bedeutung sein können; mitzuteilen sind auch diejenigen Umstände, die für die Erbschaftsteuer oder die Grunderwerbsteuer von Bedeutung sein können, sofern die Finanzbehörden dies anordnen. Den Behörden stehen die Stellen gleich, die für die Sicherung der Zweckbestimmung der Wohnungen zuständig sind, die auf der Grundlage des Zweiten Wohnungsbaugesetzes, des Wohnungsbaugesetzes für das Saarland oder auf der Grundlage des Wohnraumförderungsgesetzes gefördert worden sind.</w:t>
      </w:r>
    </w:p>
    <w:p>
      <w:r>
        <w:t xml:space="preserve">(4) Die Grundbuchämter teilen den für die Feststellung des Einheitswerts und den für die Feststellung des Grundbesitzwerts zuständigen Finanzbehörden für die in Absatz 3 bezeichneten Zwecke mit</w:t>
      </w:r>
    </w:p>
    <w:p>
      <w:pPr>
        <w:ind w:left="420"/>
      </w:pPr>
      <w:r>
        <w:t xml:space="preserve">1. die Eintragung eines neuen Eigentümers oder Erbbauberechtigten sowie bei einem anderen als rechtsgeschäftlichen Erwerb auch die Anschrift des neuen Eigentümers oder Erbbauberechtigten; dies gilt nicht für die Fälle des Erwerbs nach den Vorschriften des Zuordnungsrechts,</w:t>
      </w:r>
    </w:p>
    <w:p>
      <w:pPr>
        <w:ind w:left="420"/>
      </w:pPr>
      <w:r>
        <w:t xml:space="preserve">2. die Eintragung der Begründung von Wohnungseigentum oder Teileigentum,</w:t>
      </w:r>
    </w:p>
    <w:p>
      <w:pPr>
        <w:ind w:left="420"/>
      </w:pPr>
      <w:r>
        <w:t xml:space="preserve">3. die Eintragung der Begründung eines Erbbaurechts, Wohnungserbbaurechts oder Teilerbbaurechts.</w:t>
      </w:r>
    </w:p>
    <w:p>
      <w:r>
        <w:t xml:space="preserve">In den Fällen der Nummern 2 und 3 ist gleichzeitig der Tag des Eingangs des Eintragungsantrags beim Grundbuchamt mitzuteilen. Bei einer Eintragung aufgrund Erbfolge ist das Jahr anzugeben, in dem der Erblasser verstorben ist. Die Mitteilungen sollen der Finanzbehörde über die für die Führung des Liegenschaftskatasters zuständige Behörde oder über eine sonstige Behörde, die das amtliche Verzeichnis der Grundstücke (§ 2 Abs. 2 der Grundbuchordnung) führt, zugeleitet werden.</w:t>
      </w:r>
    </w:p>
    <w:p>
      <w:r>
        <w:t xml:space="preserve">(5) Die mitteilungspflichtige Stelle hat die Betroffenen vom Inhalt der Mitteilung zu unterrichten. Eine Unterrichtung kann unterbleiben, soweit den Finanzbehörden Umstände aus dem Grundbuch, den Grundakten oder aus dem Liegenschaftskataster mitgeteilt werden.</w:t>
      </w:r>
    </w:p>
    <w:p>
      <w:r>
        <w:t xml:space="preserve">(6) Die nach den Absätzen 3 oder 4 verpflichteten Behörden und Stellen übermitteln die Mitteilungen den Finanzbehörden nach amtlich vorgeschriebenem Datensatz über die amtlich bestimmte Schnittstelle elektronisch. Die Grundbuchämter und die für die Führung des Liegenschaftskatasters zuständigen Behörden übermitteln die bei ihnen geführten Daten laufend, mindestens alle drei Monate.Das Bundesministerium der Finanzen legt im Einvernehmen mit den obersten Finanzbehörden der Länder und den obersten Vermessungs- und Katasterbehörden der Länder die Einzelheiten und den Beginn der elektronischen Übermittlung in einem Schreiben fest. Dieses Schreiben ist im Bundesanzeiger und im Bundessteuerblatt zu veröffentlichen.</w:t>
      </w:r>
    </w:p>
    <w:p>
      <w:r>
        <w:rPr>
          <w:color w:val="555555"/>
          <w:sz w:val="17"/>
        </w:rPr>
        <w:t xml:space="preserve">Zitiervorschlag: § 29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