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BewG — Erklärungspflicht</w:t>
      </w:r>
    </w:p>
    <w:p>
      <w:r>
        <w:rPr>
          <w:color w:val="555555"/>
          <w:sz w:val="18"/>
        </w:rPr>
        <w:t xml:space="preserve">Bewertungsgesetz</w:t>
      </w:r>
    </w:p>
    <w:p>
      <w:r>
        <w:rPr>
          <w:color w:val="555555"/>
          <w:sz w:val="18"/>
        </w:rPr>
        <w:t xml:space="preserve">Außer Kraft: § 28 ist seit 01.01.2025 nicht mehr im BewG enthalten. Angezeigt wird die letzte bekannte Fassung, Stand 10.06.2019.</w:t>
      </w:r>
    </w:p>
    <w:p>
      <w:r>
        <w:t xml:space="preserve">(1) Erklärungen zur Feststellung des Einheitswerts sind auf jeden Hauptfeststellungszeitpunkt abzugeben.</w:t>
      </w:r>
    </w:p>
    <w:p>
      <w:r>
        <w:t xml:space="preserve">(2) Die Erklärungen sind innerhalb der Frist abzugeben, die das Bundesministerium der Finanzen im Einvernehmen mit den obersten Finanzbehörden der Länder bestimmt. Die Frist ist im Bundesanzeiger bekanntzumachen. Fordert die Finanzbehörde zur Abgabe einer Erklärung auf einen Hauptfeststellungszeitpunkt oder auf einen anderen Feststellungszeitpunkt besonders auf (§ 149 Abs. 1 Satz 2 der Abgabenordnung), hat sie eine besondere Frist zu bestimmen, die mindestens einen Monat betragen soll.</w:t>
      </w:r>
    </w:p>
    <w:p>
      <w:r>
        <w:t xml:space="preserve">(3) Erklärungspflichtig ist derjenige, dem Grundbesitz zuzurechnen ist. Er hat die Steuererklärung eigenhändig zu unterschreiben.</w:t>
      </w:r>
    </w:p>
    <w:p>
      <w:r>
        <w:rPr>
          <w:color w:val="555555"/>
          <w:sz w:val="17"/>
        </w:rPr>
        <w:t xml:space="preserve">Zitiervorschlag: § 28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