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BewG — Wertverhältnisse bei Fortschreibungen und Nachfeststellungen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27 ist seit 01.01.2025 nicht mehr im BewG enthalten. Angezeigt wird die letzte bekannte Fassung, Stand 10.06.2019.</w:t>
      </w:r>
    </w:p>
    <w:p>
      <w:r>
        <w:t xml:space="preserve">Bei Fortschreibungen und bei Nachfeststellungen der Einheitswerte für Grundbesitz sind die Wertverhältnisse im Hauptfeststellungszeitpunkt zugrunde zu legen.</w:t>
      </w:r>
    </w:p>
    <w:p>
      <w:r>
        <w:rPr>
          <w:color w:val="555555"/>
          <w:sz w:val="17"/>
        </w:rPr>
        <w:t xml:space="preserve">Zitiervorschlag: § 27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