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264 BewG — Bekanntmachung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Das Bundesministerium der Finanzen wird ermächtigt, den Wortlaut dieses Gesetzes und der zu diesem Gesetz erlassenen Rechtsverordnungen in der jeweils geltenden Fassung satzweise nummeriert bekannt zu machen.</w:t>
      </w:r>
    </w:p>
    <w:p>
      <w:r>
        <w:rPr>
          <w:color w:val="555555"/>
          <w:sz w:val="17"/>
        </w:rPr>
        <w:t xml:space="preserve">Zitiervorschlag: § 264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