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263 BewG — Ermächtigungen</w:t>
      </w:r>
    </w:p>
    <w:p>
      <w:r>
        <w:rPr>
          <w:color w:val="555555"/>
          <w:sz w:val="18"/>
        </w:rPr>
        <w:t xml:space="preserve">Bewertungsgesetz</w:t>
      </w:r>
    </w:p>
    <w:p>
      <w:r>
        <w:rPr>
          <w:color w:val="555555"/>
          <w:sz w:val="18"/>
        </w:rPr>
        <w:t xml:space="preserve">Stand: 23.07.2021 (konsolidierte Textfassung, kein amtliches Inkrafttretensdatum)</w:t>
      </w:r>
    </w:p>
    <w:p>
      <w:r>
        <w:t xml:space="preserve">(1) Das Bundesministerium der Finanzen wird ermächtigt, durch Rechtsverordnung mit Zustimmung des Bundesrates die folgenden Anlagen zu ändern:</w:t>
      </w:r>
    </w:p>
    <w:p>
      <w:pPr>
        <w:ind w:left="420"/>
      </w:pPr>
      <w:r>
        <w:t xml:space="preserve">1. die Anlagen 27 bis 33 durch Anpassung der darin aufgeführten Bewertungsfaktoren und Zuschläge zum Reinertrag an die Ergebnisse der Erhebungen nach § 2 des Landwirtschaftsgesetzes oder an die Erhebungen der Finanzverwaltung zum nächsten Feststellungszeitpunkt,</w:t>
      </w:r>
    </w:p>
    <w:p>
      <w:pPr>
        <w:ind w:left="420"/>
      </w:pPr>
      <w:r>
        <w:t xml:space="preserve">2. im Einvernehmen mit dem Bundesministerium für Ernährung und Landwirtschaft die Anlagen 34 und 35 durch Anpassung des darin aufgeführten Umrechnungsschlüssels und der Gruppen der Zweige eines Tierbestands an geänderte wirtschaftliche oder technische Entwicklungen und</w:t>
      </w:r>
    </w:p>
    <w:p>
      <w:pPr>
        <w:ind w:left="420"/>
      </w:pPr>
      <w:r>
        <w:t xml:space="preserve">3. die Anlagen 36 bis 43 durch Anpassung der darin aufgeführten Bewertungsfaktoren des Ertrags- und Sachwertverfahrens an geänderte wirtschaftliche oder technische Verhältnisse.</w:t>
      </w:r>
    </w:p>
    <w:p>
      <w:r>
        <w:t xml:space="preserve">In der jeweiligen Rechtsverordnung kann das Bundesministerium der Finanzen zur Sicherstellung der Gleichmäßigkeit der Besteuerung, insbesondere zur Sicherstellung einer relations- und realitätsgerechten Abbildung der Grundsteuerwerte, anordnen, dass ab dem nächsten Feststellungszeitpunkt Grundsteuerwerte unter Berücksichtigung der tatsächlichen Verhältnisse und der geänderten Wertverhältnisse durch Anwendung der jeweils angepassten Anlagen 27 bis 43 festgestellt werden.</w:t>
      </w:r>
    </w:p>
    <w:p>
      <w:r>
        <w:t xml:space="preserve">(2) Das Bundesministerium der Finanzen wird ermächtigt, durch Rechtsverordnung mit Zustimmung des Bundesrates die gemeindebezogene Einordnung in die jeweilige Mietniveaustufe zur Ermittlung der Zu- und Abschläge nach § 254 in Verbindung mit Anlage 39 Teil II auf der Grundlage der Einordnung nach § 12 des Wohngeldgesetzes in Verbindung mit § 1 Absatz 3 und der Anlage der Wohngeldverordnung für steuerliche Zwecke herzuleiten und den dafür maßgeblichen Gebietsstand festzulegen.</w:t>
      </w:r>
    </w:p>
    <w:p>
      <w:r>
        <w:rPr>
          <w:color w:val="555555"/>
          <w:sz w:val="17"/>
        </w:rPr>
        <w:t xml:space="preserve">Zitiervorschlag: § 263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