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261 BewG — Erbbaurecht</w:t>
      </w:r>
    </w:p>
    <w:p>
      <w:r>
        <w:rPr>
          <w:color w:val="555555"/>
          <w:sz w:val="18"/>
        </w:rPr>
        <w:t xml:space="preserve">Bewertungsgesetz</w:t>
      </w:r>
    </w:p>
    <w:p>
      <w:r>
        <w:rPr>
          <w:color w:val="555555"/>
          <w:sz w:val="18"/>
        </w:rPr>
        <w:t xml:space="preserve">Stand: 25.01.2021 (konsolidierte Textfassung, kein amtliches Inkrafttretensdatum)</w:t>
      </w:r>
    </w:p>
    <w:p>
      <w:r>
        <w:t xml:space="preserve">Bei Erbbaurechten ist für das Erbbaurecht und das Erbbaurechtsgrundstück ein Gesamtwert nach den §§ 243 bis 260 zu ermitteln, der festzustellen wäre, wenn die Belastung mit dem Erbbaurecht nicht bestünde. Der ermittelte Wert ist dem Erbbauberechtigten zuzurechnen. Für Wohnungserbbaurechte und Teilerbbaurechte gelten die Sätze 1 und 2 entsprechend.</w:t>
      </w:r>
    </w:p>
    <w:p>
      <w:r>
        <w:rPr>
          <w:color w:val="555555"/>
          <w:sz w:val="17"/>
        </w:rPr>
        <w:t xml:space="preserve">Zitiervorschlag: § 261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