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BewG — Umfang der wirtschaftlichen Einheit bei Ehegatten oder Lebenspartnern</w:t>
      </w:r>
    </w:p>
    <w:p>
      <w:r>
        <w:rPr>
          <w:color w:val="555555"/>
          <w:sz w:val="18"/>
        </w:rPr>
        <w:t xml:space="preserve">Bewertungsgesetz</w:t>
      </w:r>
    </w:p>
    <w:p>
      <w:r>
        <w:rPr>
          <w:color w:val="555555"/>
          <w:sz w:val="18"/>
        </w:rPr>
        <w:t xml:space="preserve">Außer Kraft: § 26 ist seit 01.01.2025 nicht mehr im BewG enthalten. Angezeigt wird die letzte bekannte Fassung, Stand 10.06.2019.</w:t>
      </w:r>
    </w:p>
    <w:p>
      <w:r>
        <w:t xml:space="preserve">Die Zurechnung mehrerer Wirtschaftsgüter zu einer wirtschaftlichen Einheit (§ 2) wird beim Grundbesitz im Sinne der §§ 33 bis 94, 99 und 125 bis 133 nicht dadurch ausgeschlossen, daß die Wirtschaftsgüter zum Teil dem einen, zum Teil dem anderen Ehegatten oder Lebenspartner gehören.</w:t>
      </w:r>
    </w:p>
    <w:p>
      <w:r>
        <w:rPr>
          <w:color w:val="555555"/>
          <w:sz w:val="17"/>
        </w:rPr>
        <w:t xml:space="preserve">Zitiervorschlag: § 26 BewG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