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 BewG — Ermittlung des Gebäudesachwerts</w:t>
      </w:r>
    </w:p>
    <w:p>
      <w:r>
        <w:rPr>
          <w:color w:val="555555"/>
          <w:sz w:val="18"/>
        </w:rPr>
        <w:t xml:space="preserve">Bewertungsgesetz</w:t>
      </w:r>
    </w:p>
    <w:p>
      <w:r>
        <w:rPr>
          <w:color w:val="555555"/>
          <w:sz w:val="18"/>
        </w:rPr>
        <w:t xml:space="preserve">Stand: 01.07.2021 (konsolidierte Textfassung, kein amtliches Inkrafttretensdatum)</w:t>
      </w:r>
    </w:p>
    <w:p>
      <w:r>
        <w:t xml:space="preserve">(1) Bei der Ermittlung des Gebäudesachwerts ist von den Normalherstellungskosten des Gebäudes in Anlage 42 auszugehen.</w:t>
      </w:r>
    </w:p>
    <w:p>
      <w:r>
        <w:t xml:space="preserve">(2) Der Gebäudenormalherstellungswert ergibt sich durch Multiplikation der jeweiligen nach Absatz 3 an den Hauptfeststellungszeitpunkt angepassten Normalherstellungskosten mit der Brutto-Grundfläche des Gebäudes.</w:t>
      </w:r>
    </w:p>
    <w:p>
      <w:r>
        <w:t xml:space="preserve">(3) Die Anpassung der Normalherstellungskosten erfolgt anhand der vom Statistischen Bundesamt veröffentlichten Baupreisindizes. Dabei ist auf die Preisindizes für die Bauwirtschaft abzustellen, die das Statistische Bundesamt für den Neubau in konventioneller Bauart von Wohn- und Nichtwohngebäuden jeweils für das Vierteljahr vor dem Hauptfeststellungzeitpunkt ermittelt hat. Diese Preisindizes sind für alle Bewertungsstichtage des folgenden Hauptfeststellungszeitraums anzuwenden. Das Bundesministerium der Finanzen veröffentlicht die maßgebenden Baupreisindizes im Bundessteuerblatt.</w:t>
      </w:r>
    </w:p>
    <w:p>
      <w:r>
        <w:t xml:space="preserve">(4) Vom Gebäudenormalherstellungswert ist eine Alterswertminderung abzuziehen. Die Alterswertminderung ergibt sich durch Multiplikation des Gebäudenormalherstellungswerts mit dem Verhältnis des Alters des Gebäudes im Hauptfeststellungszeitpunkt zur wirtschaftlichen Gesamtnutzungsdauer nach Anlage 38. Sind nach Bezugsfertigkeit des Gebäudes Veränderungen eingetreten, die die wirtschaftliche Gesamtnutzungsdauer des Gebäudes wesentlich verlängert haben, ist von einem der Verlängerung entsprechenden späteren Baujahr auszugehen. Der nach Abzug der Alterswertminderung verbleibende Gebäudewert ist mit mindestens 30 Prozent des Gebäudenormalherstellungswerts anzusetzen. Bei bestehender Abbruchverpflichtung für das Gebäude ist die Alterswertminderung abweichend von den Sätzen 2 bis 4 auf das Verhältnis des Alters des Gebäudes im Hauptfeststellungszeitpunkt zur tatsächlichen Gesamtnutzungsdauer begrenzt.</w:t>
      </w:r>
    </w:p>
    <w:p>
      <w:r>
        <w:rPr>
          <w:color w:val="555555"/>
          <w:sz w:val="17"/>
        </w:rPr>
        <w:t xml:space="preserve">Zitiervorschlag: § 259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