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258 BewG — Bewertung im Sachwertverfahren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Bei Anwendung des Sachwertverfahrens ist der Wert der Gebäude (Gebäudesachwert) getrennt vom Bodenwert zu ermitteln.</w:t>
      </w:r>
    </w:p>
    <w:p>
      <w:r>
        <w:t xml:space="preserve">(2) Der Bodenwert ist der Wert des unbebauten Grundstücks nach § 247.</w:t>
      </w:r>
    </w:p>
    <w:p>
      <w:r>
        <w:t xml:space="preserve">(3) Die Summe aus Bodenwert (§ 247) und Gebäudesachwert (§ 259) ergibt den vorläufigen Sachwert des Grundstücks. Dieser ist zur Ermittlung des Grundsteuerwerts im Sachwertverfahren mit der Wertzahl nach § 260 zu multiplizieren. Mit dem Grundsteuerwert sind die Werte für den Grund und Boden, die Gebäude, die baulichen Anlagen, insbesondere Außenanlagen, und die sonstigen Anlagen abgegolten.</w:t>
      </w:r>
    </w:p>
    <w:p>
      <w:r>
        <w:rPr>
          <w:color w:val="555555"/>
          <w:sz w:val="17"/>
        </w:rPr>
        <w:t xml:space="preserve">Zitiervorschlag: § 258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