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257 BewG — Ermittlung des abgezinsten Bodenwerts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Zur Ermittlung des abgezinsten Bodenwerts ist vom Bodenwert nach § 247 auszugehen. Bei der Bewertung von Ein- und Zweifamilienhäusern im Sinne des § 249 Absatz 2 und 3 sind zur Berücksichtigung abweichender Grundstücksgrößen beim Bodenwert die Umrechnungskoeffizienten nach Anlage 36 anzuwenden.</w:t>
      </w:r>
    </w:p>
    <w:p>
      <w:r>
        <w:t xml:space="preserve">(2) Der Bodenwert nach Absatz 1 ist mit Ausnahme des Werts von selbständig nutzbaren Teilflächen nach Absatz 3 mit dem sich aus Anlage 41 ergebenden Abzinsungsfaktor abzuzinsen. Der jeweilige Abzinsungsfaktor bestimmt sich nach dem Liegenschaftszinssatz nach § 256 und der Restnutzungsdauer des Gebäudes nach § 253 Absatz 2 Satz 3 bis 6.</w:t>
      </w:r>
    </w:p>
    <w:p>
      <w:r>
        <w:t xml:space="preserve">(3) Eine selbständig nutzbare Teilfläche ist ein Teil eines Grundstücks, der für die angemessene Nutzung der Gebäude nicht benötigt wird und selbständig genutzt oder verwertet werden kann.</w:t>
      </w:r>
    </w:p>
    <w:p>
      <w:r>
        <w:rPr>
          <w:color w:val="555555"/>
          <w:sz w:val="17"/>
        </w:rPr>
        <w:t xml:space="preserve">Zitiervorschlag: § 257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