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 BewG — Bewirtschaftungskosten</w:t>
      </w:r>
    </w:p>
    <w:p>
      <w:r>
        <w:rPr>
          <w:color w:val="555555"/>
          <w:sz w:val="18"/>
        </w:rPr>
        <w:t xml:space="preserve">Bewertungsgesetz</w:t>
      </w:r>
    </w:p>
    <w:p>
      <w:r>
        <w:rPr>
          <w:color w:val="555555"/>
          <w:sz w:val="18"/>
        </w:rPr>
        <w:t xml:space="preserve">Stand: 10.12.2019 (konsolidierte Textfassung, kein amtliches Inkrafttretensdatum)</w:t>
      </w:r>
    </w:p>
    <w:p>
      <w:r>
        <w:t xml:space="preserve">Als Bewirtschaftungskosten werden die bei ordnungsgemäßer Bewirtschaftung und zulässiger Nutzung marktüblich entstehenden jährlichen Verwaltungskosten, Betriebskosten, Instandhaltungskosten und das Mietausfallwagnis berücksichtigt, die nicht durch Umlagen oder sonstige Kostenübernahmen gedeckt sind. Sie ergeben sich aus den pauschalierten Erfahrungssätzen nach Anlage 40.</w:t>
      </w:r>
    </w:p>
    <w:p>
      <w:r>
        <w:rPr>
          <w:color w:val="555555"/>
          <w:sz w:val="17"/>
        </w:rPr>
        <w:t xml:space="preserve">Zitiervorschlag: § 255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