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253 BewG — Ermittlung des kapitalisierten Reinertrags</w:t>
      </w:r>
    </w:p>
    <w:p>
      <w:r>
        <w:rPr>
          <w:color w:val="555555"/>
          <w:sz w:val="18"/>
        </w:rPr>
        <w:t xml:space="preserve">Bewertungsgesetz</w:t>
      </w:r>
    </w:p>
    <w:p>
      <w:r>
        <w:rPr>
          <w:color w:val="555555"/>
          <w:sz w:val="18"/>
        </w:rPr>
        <w:t xml:space="preserve">Stand: 01.07.2021 (konsolidierte Textfassung, kein amtliches Inkrafttretensdatum)</w:t>
      </w:r>
    </w:p>
    <w:p>
      <w:r>
        <w:t xml:space="preserve">(1) Zur Ermittlung des kapitalisierten Reinertrags ist vom Reinertrag des Grundstücks auszugehen. Dieser ergibt sich aus dem Rohertrag des Grundstücks (§ 254) abzüglich der Bewirtschaftungskosten (§ 255).</w:t>
      </w:r>
    </w:p>
    <w:p>
      <w:r>
        <w:t xml:space="preserve">(2) Der Reinertrag des Grundstücks ist mit dem sich aus Anlage 37 ergebenden Vervielfältiger zu kapitalisieren. Maßgebend für den Vervielfältiger sind der Liegenschaftszinssatz nach § 256 und die Restnutzungsdauer des Gebäudes. Die Restnutzungsdauer ist grundsätzlich der Unterschiedsbetrag zwischen der wirtschaftlichen Gesamtnutzungsdauer, die sich aus Anlage 38 ergibt, und dem Alter des Gebäudes im Hauptfeststellungszeitpunkt. Sind nach der Bezugsfertigkeit des Gebäudes Veränderungen eingetreten, die die wirtschaftliche Gesamtnutzungsdauer des Gebäudes wesentlich verlängert haben, ist von einer der Verlängerung entsprechenden Restnutzungsdauer auszugehen. Die Restnutzungsdauer eines noch nutzbaren Gebäudes beträgt mindestens 30 Prozent der wirtschaftlichen Gesamtnutzungsdauer. Bei einer bestehenden Abbruchverpflichtung für das Gebäude ist die Restnutzungsdauer abweichend von den Sätzen 3 bis 5 auf den Unterschiedsbetrag zwischen der tatsächlichen Gesamtnutzungsdauer und dem Alter des Gebäudes im Hauptfeststellungszeitpunkt begrenzt.</w:t>
      </w:r>
    </w:p>
    <w:p>
      <w:r>
        <w:rPr>
          <w:color w:val="555555"/>
          <w:sz w:val="17"/>
        </w:rPr>
        <w:t xml:space="preserve">Zitiervorschlag: § 253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https://recht.nulegal.eu/gesetze/BewG/253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