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250 BewG — Bewertung der bebauten Grundstücke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Der Grundsteuerwert bebauter Grundstücke ist nach dem Ertragswertverfahren (Absatz 2) oder dem Sachwertverfahren (Absatz 3) zu ermitteln.</w:t>
      </w:r>
    </w:p>
    <w:p>
      <w:r>
        <w:t xml:space="preserve">(2) Im Ertragswertverfahren nach den §§ 252 bis 257 sind zu bewerten:</w:t>
      </w:r>
    </w:p>
    <w:p>
      <w:pPr>
        <w:ind w:left="420"/>
      </w:pPr>
      <w:r>
        <w:t xml:space="preserve">1. Einfamilienhäuser,</w:t>
      </w:r>
    </w:p>
    <w:p>
      <w:pPr>
        <w:ind w:left="420"/>
      </w:pPr>
      <w:r>
        <w:t xml:space="preserve">2. Zweifamilienhäuser,</w:t>
      </w:r>
    </w:p>
    <w:p>
      <w:pPr>
        <w:ind w:left="420"/>
      </w:pPr>
      <w:r>
        <w:t xml:space="preserve">3. Mietwohngrundstücke,</w:t>
      </w:r>
    </w:p>
    <w:p>
      <w:pPr>
        <w:ind w:left="420"/>
      </w:pPr>
      <w:r>
        <w:t xml:space="preserve">4. Wohnungseigentum.</w:t>
      </w:r>
    </w:p>
    <w:p>
      <w:r>
        <w:t xml:space="preserve">(3) Im Sachwertverfahren nach den §§ 258 bis 260 sind zu bewerten:</w:t>
      </w:r>
    </w:p>
    <w:p>
      <w:pPr>
        <w:ind w:left="420"/>
      </w:pPr>
      <w:r>
        <w:t xml:space="preserve">1. Geschäftsgrundstücke,</w:t>
      </w:r>
    </w:p>
    <w:p>
      <w:pPr>
        <w:ind w:left="420"/>
      </w:pPr>
      <w:r>
        <w:t xml:space="preserve">2. gemischt genutzte Grundstücke,</w:t>
      </w:r>
    </w:p>
    <w:p>
      <w:pPr>
        <w:ind w:left="420"/>
      </w:pPr>
      <w:r>
        <w:t xml:space="preserve">3. Teileigentum,</w:t>
      </w:r>
    </w:p>
    <w:p>
      <w:pPr>
        <w:ind w:left="420"/>
      </w:pPr>
      <w:r>
        <w:t xml:space="preserve">4. sonstige bebaute Grundstücke.</w:t>
      </w:r>
    </w:p>
    <w:p>
      <w:r>
        <w:rPr>
          <w:color w:val="555555"/>
          <w:sz w:val="17"/>
        </w:rPr>
        <w:t xml:space="preserve">Zitiervorschlag: § 250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https://recht.nulegal.eu/gesetze/BewG/250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