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240 BewG — Kleingartenland und Dauerkleingartenland</w:t>
      </w:r>
    </w:p>
    <w:p>
      <w:r>
        <w:rPr>
          <w:color w:val="555555"/>
          <w:sz w:val="18"/>
        </w:rPr>
        <w:t xml:space="preserve">Bewertungsgesetz</w:t>
      </w:r>
    </w:p>
    <w:p>
      <w:r>
        <w:rPr>
          <w:color w:val="555555"/>
          <w:sz w:val="18"/>
        </w:rPr>
        <w:t xml:space="preserve">Stand: 10.12.2019 (konsolidierte Textfassung, kein amtliches Inkrafttretensdatum)</w:t>
      </w:r>
    </w:p>
    <w:p>
      <w:r>
        <w:t xml:space="preserve">(1) Als Betrieb der Land- und Forstwirtschaft gelten auch Kleingartenland und Dauerkleingartenland im Sinne des Bundeskleingartengesetzes.</w:t>
      </w:r>
    </w:p>
    <w:p>
      <w:r>
        <w:t xml:space="preserve">(2) Bei der Ermittlung des Ertragswerts für Kleingartenland und Dauerkleingartenland ist abweichend von § 237 der Reinertrag für den Nutzungsteil Gemüsebau anzusetzen. Der Reinertrag ergibt sich aus der Summe der Produkte der jeweils gesetzlich klassifizierten Eigentumsfläche und dem Reinertrag für das Freiland gemäß Anlage 30.</w:t>
      </w:r>
    </w:p>
    <w:p>
      <w:r>
        <w:t xml:space="preserve">(3) Gartenlauben von mehr als 30 Quadratmetern Brutto-Grundfläche gelten als Wirtschaftsgebäude. § 237 Absatz 8 findet entsprechende Anwendung.</w:t>
      </w:r>
    </w:p>
    <w:p>
      <w:r>
        <w:t xml:space="preserve">(4) Die Summe der Reinerträge nach den Absätzen 2 und 3 ist zur Ermittlung des Ertragswerts mit dem Faktor 18,6 zu kapitalisieren und ergibt den Grundsteuerwert des Betriebs der Land-und Forstwirtschaft.</w:t>
      </w:r>
    </w:p>
    <w:p>
      <w:r>
        <w:rPr>
          <w:color w:val="555555"/>
          <w:sz w:val="17"/>
        </w:rPr>
        <w:t xml:space="preserve">Zitiervorschlag: § 240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https://recht.nulegal.eu/gesetze/BewG/240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