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BewG — Grundsteuerwert des Betriebs der Land- und Forstwirtschaft</w:t>
      </w:r>
    </w:p>
    <w:p>
      <w:r>
        <w:rPr>
          <w:color w:val="555555"/>
          <w:sz w:val="18"/>
        </w:rPr>
        <w:t xml:space="preserve">Bewertungsgesetz</w:t>
      </w:r>
    </w:p>
    <w:p>
      <w:r>
        <w:rPr>
          <w:color w:val="555555"/>
          <w:sz w:val="18"/>
        </w:rPr>
        <w:t xml:space="preserve">Stand: 10.12.2019 (konsolidierte Textfassung, kein amtliches Inkrafttretensdatum)</w:t>
      </w:r>
    </w:p>
    <w:p>
      <w:r>
        <w:t xml:space="preserve">(1) Die Summe der Reinerträge des Betriebs einschließlich der Zuschläge (§§ 237, 238) ist zur Ermittlung des Ertragswerts mit dem Faktor 18,6 zu kapitalisieren und ergibt den Grundsteuerwert des Betriebs der Land- und Forstwirtschaft.</w:t>
      </w:r>
    </w:p>
    <w:p>
      <w:r>
        <w:t xml:space="preserve">(2) Die Summe der Reinerträge einschließlich der Zuschläge (§§ 237, 238) eines Betriebs der Land- und Forstwirtschaft ist für jede Gemeinde gesondert zu ermitteln, wenn sich die wirtschaftliche Einheit über mehrere Gemeinden erstreckt. Der auf eine Gemeinde entfallende Anteil am Grundsteuerwert berechnet sich aus der jeweils für eine Gemeinde gesondert ermittelten Summe der Reinerträge im Verhältnis zur Gesamtsumme der Reinerträge des Betriebs der Land- und Forstwirtschaft.</w:t>
      </w:r>
    </w:p>
    <w:p>
      <w:r>
        <w:rPr>
          <w:color w:val="555555"/>
          <w:sz w:val="17"/>
        </w:rPr>
        <w:t xml:space="preserve">Zitiervorschlag: § 239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