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236 BewG — Bewertungsgrundsätze</w:t>
      </w:r>
    </w:p>
    <w:p>
      <w:r>
        <w:rPr>
          <w:color w:val="555555"/>
          <w:sz w:val="18"/>
        </w:rPr>
        <w:t xml:space="preserve">Bewertungsgesetz</w:t>
      </w:r>
    </w:p>
    <w:p>
      <w:r>
        <w:rPr>
          <w:color w:val="555555"/>
          <w:sz w:val="18"/>
        </w:rPr>
        <w:t xml:space="preserve">Stand: 10.12.2019 (konsolidierte Textfassung, kein amtliches Inkrafttretensdatum)</w:t>
      </w:r>
    </w:p>
    <w:p>
      <w:r>
        <w:t xml:space="preserve">(1) Der Bewertung eines Betriebs der Land- und Forstwirtschaft ist der Ertragswert zugrunde zu legen.</w:t>
      </w:r>
    </w:p>
    <w:p>
      <w:r>
        <w:t xml:space="preserve">(2) Bei der Ermittlung des Ertragswerts ist von der Ertragsfähigkeit auszugehen. Ertragsfähigkeit ist der bei ordnungsmäßiger Bewirtschaftung gemeinhin und nachhaltig erzielbare Reinertrag eines pacht- und schuldenfreien Betriebs mit entlohnten fremden Arbeitskräften (Reinertrag). Er ermittelt sich aus dem Betriebseinkommen abzüglich des Lohnaufwands für die entlohnten Arbeitskräfte und des angemessenen Anteils für die Arbeitsleistung des Betriebsleiters sowie der nicht entlohnten Arbeitskräfte. Hierbei sind alle Umstände zu berücksichtigen, die bei einer Selbstbewirtschaftung des Betriebs den Wirtschaftserfolg beeinflussen.</w:t>
      </w:r>
    </w:p>
    <w:p>
      <w:r>
        <w:t xml:space="preserve">(3) Der Reinertrag wird aus den Erhebungen nach § 2 des Landwirtschaftsgesetzes oder aus Erhebungen der Finanzverwaltung für jede gesetzliche Klassifizierung gesondert ermittelt. Bei der Ermittlung des jeweiligen Reinertrags ist zur Berücksichtigung der nachhaltigen Ertragsfähigkeit ein Durchschnitt aus den letzten zehn vorliegenden Wirtschaftsjahren zu bilden, die vor dem Hauptfeststellungszeitpunkt geendet haben.</w:t>
      </w:r>
    </w:p>
    <w:p>
      <w:r>
        <w:t xml:space="preserve">(4) Der Ertragswert ist das 18,6fache der Summe der Reinerträge des Betriebs.</w:t>
      </w:r>
    </w:p>
    <w:p>
      <w:r>
        <w:rPr>
          <w:color w:val="555555"/>
          <w:sz w:val="17"/>
        </w:rPr>
        <w:t xml:space="preserve">Zitiervorschlag: § 236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