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233 BewG — Abgrenzung des land- und forstwirtschaftlichen Vermögens vom Grundvermögen in Sonderfällen</w:t>
      </w:r>
    </w:p>
    <w:p>
      <w:r>
        <w:rPr>
          <w:color w:val="555555"/>
          <w:sz w:val="18"/>
        </w:rPr>
        <w:t xml:space="preserve">Bewertungsgesetz</w:t>
      </w:r>
    </w:p>
    <w:p>
      <w:r>
        <w:rPr>
          <w:color w:val="555555"/>
          <w:sz w:val="18"/>
        </w:rPr>
        <w:t xml:space="preserve">Stand: 10.12.2019 (konsolidierte Textfassung, kein amtliches Inkrafttretensdatum)</w:t>
      </w:r>
    </w:p>
    <w:p>
      <w:r>
        <w:t xml:space="preserve">(1) Dienen im Umgriff einer Windenergieanlage Flächen einem Betrieb der Land- und Forstwirtschaft, sind abweichend von § 232 Absatz 4 Nummer 1 die Standortflächen der Windenergieanlage und der dazugehörenden Betriebsvorrichtungen (abgegrenzte Standortfläche der Windenergieanlage) dem land- und forstwirtschaftlichen Vermögen zuzurechnen.</w:t>
      </w:r>
    </w:p>
    <w:p>
      <w:r>
        <w:t xml:space="preserve">(2) Land- und forstwirtschaftlich genutzte Flächen sind dem Grundvermögen zuzurechnen, wenn nach ihrer Lage, den am Feststellungszeitpunkt bestehenden Verwertungsmöglichkeiten oder den sonstigen Umständen anzunehmen ist, dass sie innerhalb eines Zeitraums von sieben Jahren anderen als land- und forstwirtschaftlichen Zwecken, insbesondere als Bau-, Gewerbe- oder Industrieland oder als Land für Verkehrszwecke, dienen werden.</w:t>
      </w:r>
    </w:p>
    <w:p>
      <w:r>
        <w:t xml:space="preserve">(3) Flächen sind stets dem Grundvermögen zuzurechnen, wenn sie in einem Bebauungsplan als Bauland festgesetzt sind, ihre sofortige Bebauung möglich ist und die Bebauung innerhalb des Plangebiets in benachbarten Bereichen begonnen hat oder schon durchgeführt ist. Satz 1 gilt nicht für die Hofstelle.</w:t>
      </w:r>
    </w:p>
    <w:p>
      <w:r>
        <w:rPr>
          <w:color w:val="555555"/>
          <w:sz w:val="17"/>
        </w:rPr>
        <w:t xml:space="preserve">Zitiervorschlag: § 233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