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231 BewG — Abgrenzung von in- und ausländischem Vermögen</w:t>
      </w:r>
    </w:p>
    <w:p>
      <w:r>
        <w:rPr>
          <w:color w:val="555555"/>
          <w:sz w:val="18"/>
        </w:rPr>
        <w:t xml:space="preserve">Bewertungsgesetz</w:t>
      </w:r>
    </w:p>
    <w:p>
      <w:r>
        <w:rPr>
          <w:color w:val="555555"/>
          <w:sz w:val="18"/>
        </w:rPr>
        <w:t xml:space="preserve">Stand: 10.12.2019 (konsolidierte Textfassung, kein amtliches Inkrafttretensdatum)</w:t>
      </w:r>
    </w:p>
    <w:p>
      <w:r>
        <w:t xml:space="preserve">(1) Für die Bewertung des inländischen nach diesem Abschnitt zu bewertenden Vermögens gelten die §§ 232 bis 262. Nach diesen Vorschriften sind auch die inländischen Teile einer wirtschaftlichen Einheit zu bewerten, die sich sowohl auf das Inland als auch auf das Ausland erstrecken.</w:t>
      </w:r>
    </w:p>
    <w:p>
      <w:r>
        <w:t xml:space="preserve">(2) Die ausländischen Teile einer wirtschaftlichen Einheit unterliegen nicht der gesonderten Feststellung nach § 219.</w:t>
      </w:r>
    </w:p>
    <w:p>
      <w:r>
        <w:rPr>
          <w:color w:val="555555"/>
          <w:sz w:val="17"/>
        </w:rPr>
        <w:t xml:space="preserve">Zitiervorschlag: § 231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