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BewG — Nachfeststellung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23 ist seit 01.01.2025 nicht mehr im BewG enthalten. Angezeigt wird die letzte bekannte Fassung, Stand 10.06.2019.</w:t>
      </w:r>
    </w:p>
    <w:p>
      <w:r>
        <w:t xml:space="preserve">(1) Für wirtschaftliche Einheiten, für die ein Einheitswert festzustellen ist, wird der Einheitswert nachträglich festgestellt (Nachfeststellung), wenn nach dem Hauptfeststellungszeitpunkt (§ 21 Abs. 2)</w:t>
      </w:r>
    </w:p>
    <w:p>
      <w:pPr>
        <w:ind w:left="420"/>
      </w:pPr>
      <w:r>
        <w:t xml:space="preserve">1. die wirtschaftliche Einheit neu entsteht;</w:t>
      </w:r>
    </w:p>
    <w:p>
      <w:pPr>
        <w:ind w:left="420"/>
      </w:pPr>
      <w:r>
        <w:t xml:space="preserve">2. eine bereits bestehende wirtschaftliche Einheit erstmals zu einer Steuer herangezogen werden soll.</w:t>
      </w:r>
    </w:p>
    <w:p>
      <w:r>
        <w:t xml:space="preserve">(2) Der Nachfeststellung werden vorbehaltlich des § 27 die Verhältnisse im Nachfeststellungszeitpunkt zugrunde gelegt. Nachfeststellungszeitpunkt ist in den Fällen des Absatzes 1 Nr. 1 der Beginn des Kalenderjahrs, das auf die Entstehung der wirtschaftlichen Einheit folgt, und in den Fällen des Absatzes 1 Nr. 2 der Beginn des Kalenderjahrs, in dem der Einheitswert erstmals der Besteuerung zugrunde gelegt wird. Die Vorschriften in § 35 Abs. 2 und den §§ 54 und 59 über die Zugrundelegung eines anderen Zeitpunkts bleiben unberührt.</w:t>
      </w:r>
    </w:p>
    <w:p>
      <w:r>
        <w:rPr>
          <w:color w:val="555555"/>
          <w:sz w:val="17"/>
        </w:rPr>
        <w:t xml:space="preserve">Zitiervorschlag: § 23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