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226 BewG — Nachholung einer Feststellung</w:t>
      </w:r>
    </w:p>
    <w:p>
      <w:r>
        <w:rPr>
          <w:color w:val="555555"/>
          <w:sz w:val="18"/>
        </w:rPr>
        <w:t xml:space="preserve">Bewertungsgesetz</w:t>
      </w:r>
    </w:p>
    <w:p>
      <w:r>
        <w:rPr>
          <w:color w:val="555555"/>
          <w:sz w:val="18"/>
        </w:rPr>
        <w:t xml:space="preserve">Stand: 10.12.2019 (konsolidierte Textfassung, kein amtliches Inkrafttretensdatum)</w:t>
      </w:r>
    </w:p>
    <w:p>
      <w:r>
        <w:t xml:space="preserve">(1) Ist die Feststellungsfrist (§ 181 der Abgabenordnung) abgelaufen, kann eine Fortschreibung (§ 222) oder Nachfeststellung (§ 223) unter Zugrundelegung der Verhältnisse vom Fortschreibungs- oder Nachfeststellungszeitpunkt mit Wirkung für einen späteren Feststellungszeitpunkt vorgenommen werden, für den diese Frist noch nicht abgelaufen ist. § 181 Absatz 5 der Abgabenordnung bleibt hiervon unberührt.</w:t>
      </w:r>
    </w:p>
    <w:p>
      <w:r>
        <w:t xml:space="preserve">(2) Absatz 1 ist bei der Aufhebung des Grundsteuerwerts (§ 224) entsprechend anzuwenden.</w:t>
      </w:r>
    </w:p>
    <w:p>
      <w:r>
        <w:rPr>
          <w:color w:val="555555"/>
          <w:sz w:val="17"/>
        </w:rPr>
        <w:t xml:space="preserve">Zitiervorschlag: § 226 BewG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https://recht.nulegal.eu/gesetze/BewG/226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