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225 BewG — Änderung von Feststellungsbescheiden</w:t>
      </w:r>
    </w:p>
    <w:p>
      <w:r>
        <w:rPr>
          <w:color w:val="555555"/>
          <w:sz w:val="18"/>
        </w:rPr>
        <w:t xml:space="preserve">Bewertungsgesetz</w:t>
      </w:r>
    </w:p>
    <w:p>
      <w:r>
        <w:rPr>
          <w:color w:val="555555"/>
          <w:sz w:val="18"/>
        </w:rPr>
        <w:t xml:space="preserve">Stand: 10.12.2019 (konsolidierte Textfassung, kein amtliches Inkrafttretensdatum)</w:t>
      </w:r>
    </w:p>
    <w:p>
      <w:r>
        <w:t xml:space="preserve">Bescheide über Fortschreibungen oder über Nachfeststellungen von Grundsteuerwerten können schon vor dem maßgeblichen Feststellungszeitpunkt erteilt werden. Sie sind zu ändern oder aufzuheben, wenn sich bis zu diesem Zeitpunkt Änderungen ergeben, die zu einer abweichenden Feststellung führen.</w:t>
      </w:r>
    </w:p>
    <w:p>
      <w:r>
        <w:rPr>
          <w:color w:val="555555"/>
          <w:sz w:val="17"/>
        </w:rPr>
        <w:t xml:space="preserve">Zitiervorschlag: § 225 BewG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https://recht.nulegal.eu/gesetze/BewG/225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