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224 BewG — Aufhebung des Grundsteuerwerts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Der Grundsteuerwert wird aufgehoben, wenn dem Finanzamt bekannt wird, dass:</w:t>
      </w:r>
    </w:p>
    <w:p>
      <w:pPr>
        <w:ind w:left="420"/>
      </w:pPr>
      <w:r>
        <w:t xml:space="preserve">1. die wirtschaftliche Einheit wegfällt oder</w:t>
      </w:r>
    </w:p>
    <w:p>
      <w:pPr>
        <w:ind w:left="420"/>
      </w:pPr>
      <w:r>
        <w:t xml:space="preserve">2. der Grundsteuerwert der wirtschaftlichen Einheit infolge von Befreiungsgründen der Besteuerung nicht mehr zugrunde gelegt wird.</w:t>
      </w:r>
    </w:p>
    <w:p>
      <w:r>
        <w:t xml:space="preserve">(2) Aufhebungszeitpunkt ist:</w:t>
      </w:r>
    </w:p>
    <w:p>
      <w:pPr>
        <w:ind w:left="420"/>
      </w:pPr>
      <w:r>
        <w:t xml:space="preserve">1. in den Fällen des Absatzes 1 Nummer 1 der Beginn des Kalenderjahres, das auf den Wegfall der wirtschaftlichen Einheit folgt, und</w:t>
      </w:r>
    </w:p>
    <w:p>
      <w:pPr>
        <w:ind w:left="420"/>
      </w:pPr>
      <w:r>
        <w:t xml:space="preserve">2. in den Fällen des Absatzes 1 Nummer 2 der Beginn des Kalenderjahres, in dem der Grundsteuerwert erstmals der Besteuerung nicht mehr zugrunde gelegt wird.</w:t>
      </w:r>
    </w:p>
    <w:p>
      <w:r>
        <w:rPr>
          <w:color w:val="555555"/>
          <w:sz w:val="17"/>
        </w:rPr>
        <w:t xml:space="preserve">Zitiervorschlag: § 224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