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223 BewG — Nachfeststellung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Für wirtschaftliche Einheiten, für die ein Grundsteuerwert festzustellen ist, wird der Grundsteuerwert nachträglich festgestellt (Nachfeststellung), wenn nach dem Hauptfeststellungszeitpunkt:</w:t>
      </w:r>
    </w:p>
    <w:p>
      <w:pPr>
        <w:ind w:left="420"/>
      </w:pPr>
      <w:r>
        <w:t xml:space="preserve">1. die wirtschaftliche Einheit neu entsteht oder</w:t>
      </w:r>
    </w:p>
    <w:p>
      <w:pPr>
        <w:ind w:left="420"/>
      </w:pPr>
      <w:r>
        <w:t xml:space="preserve">2. eine bereits bestehende wirtschaftliche Einheit erstmals zur Grundsteuer herangezogen werden soll.</w:t>
      </w:r>
    </w:p>
    <w:p>
      <w:r>
        <w:t xml:space="preserve">(2) Der Nachfeststellung werden vorbehaltlich des § 227 die Verhältnisse im Nachfeststellungszeitpunkt zugrunde gelegt. Nachfeststellungszeitpunkt ist:</w:t>
      </w:r>
    </w:p>
    <w:p>
      <w:pPr>
        <w:ind w:left="420"/>
      </w:pPr>
      <w:r>
        <w:t xml:space="preserve">1. in den Fällen des Absatzes 1 Nummer 1 der Beginn des Kalenderjahres, das auf die Entstehung der wirtschaftlichen Einheit folgt, und</w:t>
      </w:r>
    </w:p>
    <w:p>
      <w:pPr>
        <w:ind w:left="420"/>
      </w:pPr>
      <w:r>
        <w:t xml:space="preserve">2. in den Fällen des Absatzes 1 Nummer 2 der Beginn des Kalenderjahres, in dem der Grundsteuerwert erstmals der Besteuerung zugrunde gelegt wird.</w:t>
      </w:r>
    </w:p>
    <w:p>
      <w:r>
        <w:rPr>
          <w:color w:val="555555"/>
          <w:sz w:val="17"/>
        </w:rPr>
        <w:t xml:space="preserve">Zitiervorschlag: § 223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