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222 BewG — Fortschreibungen</w:t>
      </w:r>
    </w:p>
    <w:p>
      <w:r>
        <w:rPr>
          <w:color w:val="555555"/>
          <w:sz w:val="18"/>
        </w:rPr>
        <w:t xml:space="preserve">Bewertungsgesetz</w:t>
      </w:r>
    </w:p>
    <w:p>
      <w:r>
        <w:rPr>
          <w:color w:val="555555"/>
          <w:sz w:val="18"/>
        </w:rPr>
        <w:t xml:space="preserve">Stand: 10.12.2019 (konsolidierte Textfassung, kein amtliches Inkrafttretensdatum)</w:t>
      </w:r>
    </w:p>
    <w:p>
      <w:r>
        <w:t xml:space="preserve">(1) Der Grundsteuerwert wird neu festgestellt (Wertfortschreibung), wenn der in Euro ermittelte und auf volle 100 Euro abgerundete Wert, der sich für den Beginn eines Kalenderjahres ergibt, von dem entsprechenden Wert des letzten Feststellungszeitpunkts nach oben oder unten um mehr als 15 000 Euro abweicht.</w:t>
      </w:r>
    </w:p>
    <w:p>
      <w:r>
        <w:t xml:space="preserve">(2) Über die Art oder Zurechnung der wirtschaftlichen Einheit (§ 219 Absatz 2) wird eine neue Feststellung getroffen (Artfortschreibung oder Zurechnungsfortschreibung), wenn sie von der zuletzt getroffenen Feststellung abweicht und es für die Besteuerung von Bedeutung ist.</w:t>
      </w:r>
    </w:p>
    <w:p>
      <w:r>
        <w:t xml:space="preserve">(3) Eine Fortschreibung nach Absatz 1 oder 2 findet auch zur Beseitigung eines Fehlers der letzten Feststellung statt. § 176 der Abgabenordnung über den Vertrauensschutz bei der Aufhebung und Änderung von Steuerbescheiden ist hierbei entsprechend anzuwenden. Satz 2 gilt nur für die Feststellungszeitpunkte, die vor der Verkündung der maßgeblichen Entscheidung eines der in § 176 der Abgabenordnung genannten Gerichte liegen.</w:t>
      </w:r>
    </w:p>
    <w:p>
      <w:r>
        <w:t xml:space="preserve">(4) Eine Fortschreibung ist vorzunehmen, wenn dem Finanzamt bekannt wird, dass die Voraussetzungen für sie vorliegen. Der Fortschreibung werden vorbehaltlich des § 227 die Verhältnisse im Fortschreibungszeitpunkt zugrunde gelegt. Fortschreibungszeitpunkt ist:</w:t>
      </w:r>
    </w:p>
    <w:p>
      <w:pPr>
        <w:ind w:left="420"/>
      </w:pPr>
      <w:r>
        <w:t xml:space="preserve">1. bei einer Änderung der tatsächlichen Verhältnisse der Beginn des Kalenderjahres, das auf die Änderung folgt, und</w:t>
      </w:r>
    </w:p>
    <w:p>
      <w:pPr>
        <w:ind w:left="420"/>
      </w:pPr>
      <w:r>
        <w:t xml:space="preserve">2. in den Fällen des Absatzes 3 der Beginn des Kalenderjahres, in dem der Fehler dem Finanzamt bekannt wird, bei einer Erhöhung des Grundsteuerwerts jedoch frühestens der Beginn des Kalenderjahres, in dem der Feststellungsbescheid erteilt wird.</w:t>
      </w:r>
    </w:p>
    <w:p>
      <w:r>
        <w:rPr>
          <w:color w:val="555555"/>
          <w:sz w:val="17"/>
        </w:rPr>
        <w:t xml:space="preserve">Zitiervorschlag: § 222 BewG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https://recht.nulegal.eu/gesetze/BewG/222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