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221 BewG — Hauptfeststellung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Die Grundsteuerwerte werden in Zeitabständen von je sieben Jahren allgemein festgestellt (Hauptfeststellung).</w:t>
      </w:r>
    </w:p>
    <w:p>
      <w:r>
        <w:t xml:space="preserve">(2) Der Hauptfeststellung werden die Verhältnisse zu Beginn des Kalenderjahres (Hauptfeststellungszeitpunkt) zugrunde gelegt.</w:t>
      </w:r>
    </w:p>
    <w:p>
      <w:r>
        <w:rPr>
          <w:color w:val="555555"/>
          <w:sz w:val="17"/>
        </w:rPr>
        <w:t xml:space="preserve">Zitiervorschlag: § 221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