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220 BewG — Ermittlung der Grundsteuerwerte</w:t>
      </w:r>
    </w:p>
    <w:p>
      <w:r>
        <w:rPr>
          <w:color w:val="555555"/>
          <w:sz w:val="18"/>
        </w:rPr>
        <w:t xml:space="preserve">Bewertungsgesetz</w:t>
      </w:r>
    </w:p>
    <w:p>
      <w:r>
        <w:rPr>
          <w:color w:val="555555"/>
          <w:sz w:val="18"/>
        </w:rPr>
        <w:t xml:space="preserve">Stand: 12.12.2024 (konsolidierte Textfassung, kein amtliches Inkrafttretensdatum)</w:t>
      </w:r>
    </w:p>
    <w:p>
      <w:r>
        <w:t xml:space="preserve">(1) Die Grundsteuerwerte werden nach den Vorschriften dieses Abschnitts ermittelt. Bei der Ermittlung der Grundsteuerwerte ist § 163 der Abgabenordnung nicht anzuwenden; hiervon unberührt bleiben Übergangsregelungen, die die oberste Finanzbehörde eines Landes im Einvernehmen mit den obersten Finanzbehörden der übrigen Länder trifft.</w:t>
      </w:r>
    </w:p>
    <w:p>
      <w:r>
        <w:t xml:space="preserve">(2) Der niedrigere gemeine Wert ist als Grundsteuerwert anzusetzen, wenn der Steuerpflichtige nachweist, dass der nach den Vorschriften dieses Abschnitts ermittelte Grundsteuerwert erheblich von dem gemeinen Wert der wirtschaftlichen Einheit im Feststellungszeitpunkt abweicht. Davon ist auszugehen, wenn der Grundsteuerwert den nachgewiesenen gemeinen Wert um mindestens 40 Prozent übersteigt. § 198 Absatz 1 Satz 2 und Absatz 2 gilt entsprechend. Als Nachweis des niedrigeren gemeinen Werts kann auch ein im gewöhnlichen Geschäftsverkehr innerhalb eines Jahres vor oder nach dem Hauptfeststellungszeitpunkt zustande gekommener Kaufpreis über die zu bewertende wirtschaftliche Einheit dienen, wenn die maßgeblichen Verhältnisse hierfür gegenüber den Verhältnissen am Hauptfeststellungszeitpunkt unverändert sind. Nutzungsrechte und weitere grundstücksbezogene Rechte und Belastungen sind bei der Ermittlung des niedrigeren gemeinen Werts nur zu berücksichtigen, soweit sie nach Inhalt und Entstehung mit der Beschaffenheit der wirtschaftlichen Einheit zusammenhängen. Die §§ 227, 261 und 262 bleiben unberührt.</w:t>
      </w:r>
    </w:p>
    <w:p>
      <w:r>
        <w:rPr>
          <w:color w:val="555555"/>
          <w:sz w:val="17"/>
        </w:rPr>
        <w:t xml:space="preserve">Zitiervorschlag: § 220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