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BewG — Fortschreibungen</w:t>
      </w:r>
    </w:p>
    <w:p>
      <w:r>
        <w:rPr>
          <w:color w:val="555555"/>
          <w:sz w:val="18"/>
        </w:rPr>
        <w:t xml:space="preserve">Bewertungsgesetz</w:t>
      </w:r>
    </w:p>
    <w:p>
      <w:r>
        <w:rPr>
          <w:color w:val="555555"/>
          <w:sz w:val="18"/>
        </w:rPr>
        <w:t xml:space="preserve">Außer Kraft: § 22 ist seit 01.01.2025 nicht mehr im BewG enthalten. Angezeigt wird die letzte bekannte Fassung, Stand 10.06.2019.</w:t>
      </w:r>
    </w:p>
    <w:p>
      <w:r>
        <w:t xml:space="preserve">(1) Der Einheitswert wird neu festgestellt (Wertfortschreibung), wenn der in Deutscher Mark ermittelte und auf volle hundert Deutsche Mark abgerundete Wert, der sich für den Beginn eines Kalenderjahrs ergibt, von dem entsprechenden Wert des letzten Feststellungszeitpunkts nach oben um mehr als den zehnten Teil, mindestens aber um 5.000 Deutsche Mark, oder um mehr als 100.000 Deutsche Mark, nach unten um mehr als den zehnten Teil, mindestens aber um 500 Deutsche Mark, oder um mehr als 5.000 Deutsche Mark, abweicht.</w:t>
      </w:r>
    </w:p>
    <w:p>
      <w:r>
        <w:t xml:space="preserve">(2) Über die Art oder Zurechnung des Gegenstandes (§ 19 Abs. 3 Nr. 1 und 2) wird eine neue Feststellung getroffen (Artfortschreibung oder Zurechnungsfortschreibung), wenn sie von der zuletzt getroffenen Feststellung abweicht und es für die Besteuerung von Bedeutung ist.</w:t>
      </w:r>
    </w:p>
    <w:p>
      <w:r>
        <w:t xml:space="preserve">(3) Eine Fortschreibung nach Absatz 1 oder Absatz 2 findet auch zur Beseitigung eines Fehlers der letzten Feststellung statt. § 176 der Abgabenordnung ist hierbei entsprechend anzuwenden. Dies gilt jedoch nur für die Feststellungszeitpunkte, die vor der Verkündung der maßgeblichen Entscheidung eines obersten Gerichts des Bundes liegen.</w:t>
      </w:r>
    </w:p>
    <w:p>
      <w:r>
        <w:t xml:space="preserve">(4) Eine Fortschreibung ist vorzunehmen, wenn dem Finanzamt bekannt wird, daß die Voraussetzungen für sie vorliegen. Der Fortschreibung werden vorbehaltlich des § 27 die Verhältnisse im Fortschreibungszeitpunkt zugrunde gelegt. Fortschreibungszeitpunkt ist</w:t>
      </w:r>
    </w:p>
    <w:p>
      <w:pPr>
        <w:ind w:left="420"/>
      </w:pPr>
      <w:r>
        <w:t xml:space="preserve">1. bei einer Änderung der tatsächlichen Verhältnisse der Beginn des Kalenderjahrs, das auf die Änderung folgt;</w:t>
      </w:r>
    </w:p>
    <w:p>
      <w:pPr>
        <w:ind w:left="420"/>
      </w:pPr>
      <w:r>
        <w:t xml:space="preserve">2. in den Fällen des Absatzes 3 der Beginn des Kalenderjahrs, in dem der Fehler dem Finanzamt bekannt wird, bei einer Erhöhung des Einheitswerts jedoch frühestens der Beginn des Kalenderjahrs, in dem der Feststellungsbescheid erteilt wird.</w:t>
      </w:r>
    </w:p>
    <w:p>
      <w:r>
        <w:t xml:space="preserve">Die Vorschriften in § 35 Abs. 2 und den §§ 54 und 59 über die Zugrundelegung eines anderen Zeitpunkts bleiben unberührt.</w:t>
      </w:r>
    </w:p>
    <w:p>
      <w:r>
        <w:rPr>
          <w:color w:val="555555"/>
          <w:sz w:val="17"/>
        </w:rPr>
        <w:t xml:space="preserve">Zitiervorschlag: § 22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