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219 BewG — Feststellung von Grundsteuerwerten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Grundsteuerwerte werden für inländischen Grundbesitz, und zwar für Betriebe der Land- und Forstwirtschaft (§§ 232 bis 234, 240) und für Grundstücke (§§ 243 und 244) gesondert festgestellt (§ 180 Absatz 1 Satz 1 Nummer 1 der Abgabenordnung).</w:t>
      </w:r>
    </w:p>
    <w:p>
      <w:r>
        <w:t xml:space="preserve">(2) In dem Feststellungsbescheid (§ 179 der Abgabenordnung) sind auch Feststellungen zu treffen über:</w:t>
      </w:r>
    </w:p>
    <w:p>
      <w:pPr>
        <w:ind w:left="420"/>
      </w:pPr>
      <w:r>
        <w:t xml:space="preserve">1. die Vermögensart und beim Grundvermögen auch über die Grundstücksart (§ 249) sowie</w:t>
      </w:r>
    </w:p>
    <w:p>
      <w:pPr>
        <w:ind w:left="420"/>
      </w:pPr>
      <w:r>
        <w:t xml:space="preserve">2. die Zurechnung der wirtschaftlichen Einheit und bei mehreren Beteiligten über die Höhe ihrer Anteile.</w:t>
      </w:r>
    </w:p>
    <w:p>
      <w:r>
        <w:t xml:space="preserve">(3) Die Feststellungen nach den Absätzen 1 und 2 erfolgen nur, soweit sie für die Besteuerung von Bedeutung sind.</w:t>
      </w:r>
    </w:p>
    <w:p>
      <w:r>
        <w:rPr>
          <w:color w:val="555555"/>
          <w:sz w:val="17"/>
        </w:rPr>
        <w:t xml:space="preserve">Zitiervorschlag: § 219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