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218 BewG — Vermögensarten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Für Vermögen, das nach diesem Abschnitt zu bewerten ist, erfolgt abweichend von § 18 eine Unterscheidung in folgende Vermögensarten:</w:t>
      </w:r>
    </w:p>
    <w:p>
      <w:pPr>
        <w:ind w:left="420"/>
      </w:pPr>
      <w:r>
        <w:t xml:space="preserve">1. Land- und forstwirtschaftliches Vermögen (§ 232),</w:t>
      </w:r>
    </w:p>
    <w:p>
      <w:pPr>
        <w:ind w:left="420"/>
      </w:pPr>
      <w:r>
        <w:t xml:space="preserve">2. Grundvermögen (§ 243).</w:t>
      </w:r>
    </w:p>
    <w:p>
      <w:r>
        <w:t xml:space="preserve">Betriebsgrundstücke im Sinne des § 99 Absatz 1 Nummer 2 werden dem land- und forstwirtschaftlichen Vermögen zugeordnet und sind wie land- und forstwirtschaftliches Vermögen zu bewerten. Betriebsgrundstücke im Sinne des § 99 Absatz 1 Nummer 1 werden dem Grundvermögen zugeordnet und sind wie Grundvermögen zu bewerten.</w:t>
      </w:r>
    </w:p>
    <w:p>
      <w:r>
        <w:rPr>
          <w:color w:val="555555"/>
          <w:sz w:val="17"/>
        </w:rPr>
        <w:t xml:space="preserve">Zitiervorschlag: § 218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