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BewG — Hauptfeststellung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21 ist seit 01.01.2025 nicht mehr im BewG enthalten. Angezeigt wird die letzte bekannte Fassung, Stand 10.06.2019.</w:t>
      </w:r>
    </w:p>
    <w:p>
      <w:r>
        <w:t xml:space="preserve">(1) Die Einheitswerte werden in Zeitabständen von je sechs Jahren allgemein festgestellt (Hauptfeststellung).</w:t>
      </w:r>
    </w:p>
    <w:p>
      <w:r>
        <w:t xml:space="preserve">(2) Der Hauptfeststellung werden die Verhältnisse zu Beginn des Kalenderjahrs (Hauptfeststellungszeitpunkt) zugrunde gelegt. Die Vorschriften in § 35 Abs. 2 und den §§ 54 und 59 über die Zugrundelegung eines anderen Zeitpunkts bleiben unberührt.</w:t>
      </w:r>
    </w:p>
    <w:p>
      <w:r>
        <w:rPr>
          <w:color w:val="555555"/>
          <w:sz w:val="17"/>
        </w:rPr>
        <w:t xml:space="preserve">Zitiervorschlag: § 21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