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203 BewG — Kapitalisierungsfaktor</w:t>
      </w:r>
    </w:p>
    <w:p>
      <w:r>
        <w:rPr>
          <w:color w:val="555555"/>
          <w:sz w:val="18"/>
        </w:rPr>
        <w:t xml:space="preserve">Bewertungsgesetz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in diesem Verfahren anzuwendende Kapitalisierungsfaktor beträgt 13,75.</w:t>
      </w:r>
    </w:p>
    <w:p>
      <w:r>
        <w:t xml:space="preserve">(2) Das Bundesministerium der Finanzen wird ermächtigt, durch Rechtsverordnung mit Zustimmung des Bundesrates den Kapitalisierungsfaktor an die Entwicklung der Zinsstrukturdaten anzupassen.</w:t>
      </w:r>
    </w:p>
    <w:p>
      <w:r>
        <w:rPr>
          <w:color w:val="555555"/>
          <w:sz w:val="17"/>
        </w:rPr>
        <w:t xml:space="preserve">Zitiervorschlag: § 203 BewG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https://recht.nulegal.eu/gesetze/BewG/203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