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 BewG — Betriebsergebnis</w:t>
      </w:r>
    </w:p>
    <w:p>
      <w:r>
        <w:rPr>
          <w:color w:val="555555"/>
          <w:sz w:val="18"/>
        </w:rPr>
        <w:t xml:space="preserve">Bewertungsgesetz</w:t>
      </w:r>
    </w:p>
    <w:p>
      <w:r>
        <w:rPr>
          <w:color w:val="555555"/>
          <w:sz w:val="18"/>
        </w:rPr>
        <w:t xml:space="preserve">Stand: 10.06.2019 (konsolidierte Textfassung, kein amtliches Inkrafttretensdatum)</w:t>
      </w:r>
    </w:p>
    <w:p>
      <w:r>
        <w:t xml:space="preserve">(1) Zur Ermittlung des Betriebsergebnisses ist von dem Gewinn im Sinne des § 4 Abs. 1 Satz 1 des Einkommensteuergesetzes auszugehen (Ausgangswert); dabei bleiben bei einem Anteil am Betriebsvermögen Ergebnisse aus den Sonderbilanzen und Ergänzungsbilanzen unberücksichtigt. Der Ausgangswert ist noch wie folgt zu korrigieren:</w:t>
      </w:r>
    </w:p>
    <w:p>
      <w:pPr>
        <w:ind w:left="420"/>
      </w:pPr>
      <w:r>
        <w:t xml:space="preserve">1. Hinzuzurechnen sind</w:t>
      </w:r>
    </w:p>
    <w:p>
      <w:pPr>
        <w:ind w:left="780"/>
      </w:pPr>
      <w:r>
        <w:t xml:space="preserve">a) Investitionsabzugsbeträge, Sonderabschreibungen oder erhöhte Absetzungen, Bewertungsabschläge, Zuführungen zu steuerfreien Rücklagen sowie Teilwertabschreibungen. Es sind nur die normalen Absetzungen für Abnutzung zu berücksichtigen. Diese sind nach den Anschaffungs- oder Herstellungskosten bei gleichmäßiger Verteilung über die gesamte betriebsgewöhnliche Nutzungsdauer zu bemessen. Die normalen Absetzungen für Abnutzung sind auch dann anzusetzen, wenn für die Absetzungen in der Steuerbilanz vom Restwert auszugehen ist, der nach Inanspruchnahme der Sonderabschreibungen oder erhöhten Absetzungen verblieben ist;</w:t>
      </w:r>
    </w:p>
    <w:p>
      <w:pPr>
        <w:ind w:left="780"/>
      </w:pPr>
      <w:r>
        <w:t xml:space="preserve">b) Absetzungen auf den Geschäfts- oder Firmenwert oder auf firmenwertähnliche Wirtschaftsgüter;</w:t>
      </w:r>
    </w:p>
    <w:p>
      <w:pPr>
        <w:ind w:left="780"/>
      </w:pPr>
      <w:r>
        <w:t xml:space="preserve">c) einmalige Veräußerungsverluste sowie außerordentliche Aufwendungen;</w:t>
      </w:r>
    </w:p>
    <w:p>
      <w:pPr>
        <w:ind w:left="780"/>
      </w:pPr>
      <w:r>
        <w:t xml:space="preserve">d) im Gewinn nicht enthaltene Investitionszulagen, soweit in Zukunft mit weiteren zulagebegünstigten Investitionen in gleichem Umfang gerechnet werden kann;</w:t>
      </w:r>
    </w:p>
    <w:p>
      <w:pPr>
        <w:ind w:left="780"/>
      </w:pPr>
      <w:r>
        <w:t xml:space="preserve">e) der Ertragsteueraufwand (Körperschaftsteuer, Zuschlagsteuern und Gewerbesteuer);</w:t>
      </w:r>
    </w:p>
    <w:p>
      <w:pPr>
        <w:ind w:left="780"/>
      </w:pPr>
      <w:r>
        <w:t xml:space="preserve">f) Aufwendungen, die im Zusammenhang stehen mit Vermögen im Sinne des § 200 Abs. 2 und 4, und übernommene Verluste aus Beteiligungen im Sinne des § 200 Abs. 2 bis 4;</w:t>
      </w:r>
    </w:p>
    <w:p>
      <w:pPr>
        <w:ind w:left="420"/>
      </w:pPr>
      <w:r>
        <w:t xml:space="preserve">2. abzuziehen sind</w:t>
      </w:r>
    </w:p>
    <w:p>
      <w:pPr>
        <w:ind w:left="780"/>
      </w:pPr>
      <w:r>
        <w:t xml:space="preserve">a) gewinnerhöhende Auflösungsbeträge steuerfreier Rücklagen sowie Gewinne aus der Anwendung des § 6 Abs. 1 Nr. 1 Satz 4 und Nr. 2 Satz 3 des Einkommensteuergesetzes;</w:t>
      </w:r>
    </w:p>
    <w:p>
      <w:pPr>
        <w:ind w:left="780"/>
      </w:pPr>
      <w:r>
        <w:t xml:space="preserve">b) einmalige Veräußerungsgewinne sowie außerordentliche Erträge;</w:t>
      </w:r>
    </w:p>
    <w:p>
      <w:pPr>
        <w:ind w:left="780"/>
      </w:pPr>
      <w:r>
        <w:t xml:space="preserve">c) im Gewinn enthaltene Investitionszulagen, soweit in Zukunft nicht mit weiteren zulagebegünstigten Investitionen in gleichem Umfang gerechnet werden kann;</w:t>
      </w:r>
    </w:p>
    <w:p>
      <w:pPr>
        <w:ind w:left="780"/>
      </w:pPr>
      <w:r>
        <w:t xml:space="preserve">d) ein angemessener Unternehmerlohn, soweit in der bisherigen Ergebnisrechnung kein solcher berücksichtigt worden ist. Die Höhe des Unternehmerlohns wird nach der Vergütung bestimmt, die eine nicht beteiligte Geschäftsführung erhalten würde. Neben dem Unternehmerlohn kann auch fiktiver Lohnaufwand für bislang unentgeltlich tätige Familienangehörige des Eigentümers berücksichtigt werden;</w:t>
      </w:r>
    </w:p>
    <w:p>
      <w:pPr>
        <w:ind w:left="780"/>
      </w:pPr>
      <w:r>
        <w:t xml:space="preserve">e) Erträge aus der Erstattung von Ertragsteuern (Körperschaftsteuer, Zuschlagsteuern und Gewerbesteuer);</w:t>
      </w:r>
    </w:p>
    <w:p>
      <w:pPr>
        <w:ind w:left="780"/>
      </w:pPr>
      <w:r>
        <w:t xml:space="preserve">f) Erträge, die im Zusammenhang stehen mit Vermögen im Sinne des § 200 Abs. 2 bis 4;</w:t>
      </w:r>
    </w:p>
    <w:p>
      <w:pPr>
        <w:ind w:left="420"/>
      </w:pPr>
      <w:r>
        <w:t xml:space="preserve">3. hinzuzurechnen oder abzuziehen sind auch sonstige wirtschaftlich nicht begründete Vermögensminderungen oder -erhöhungen mit Einfluss auf den zukünftig nachhaltig zu erzielenden Jahresertrag und mit gesellschaftsrechtlichem Bezug, soweit sie nicht nach den Nummern 1 und 2 berücksichtigt wurden.</w:t>
      </w:r>
    </w:p>
    <w:p>
      <w:r>
        <w:t xml:space="preserve">(2) In den Fällen des § 4 Abs. 3 des Einkommensteuergesetzes ist vom Überschuss der Betriebseinnahmen über die Betriebsausgaben auszugehen. Absatz 1 Satz 2 Nr. 1 bis 3 gilt entsprechend.</w:t>
      </w:r>
    </w:p>
    <w:p>
      <w:r>
        <w:t xml:space="preserve">(3) Zur Abgeltung des Ertragsteueraufwands ist ein positives Betriebsergebnis nach Absatz 1 oder Absatz 2 um 30 Prozent zu mindern.</w:t>
      </w:r>
    </w:p>
    <w:p>
      <w:r>
        <w:rPr>
          <w:color w:val="555555"/>
          <w:sz w:val="17"/>
        </w:rPr>
        <w:t xml:space="preserve">Zitiervorschlag: § 202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