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201 BewG — Ermittlung des Jahresertrags</w:t>
      </w:r>
    </w:p>
    <w:p>
      <w:r>
        <w:rPr>
          <w:color w:val="555555"/>
          <w:sz w:val="18"/>
        </w:rPr>
        <w:t xml:space="preserve">Bewertungsgesetz</w:t>
      </w:r>
    </w:p>
    <w:p>
      <w:r>
        <w:rPr>
          <w:color w:val="555555"/>
          <w:sz w:val="18"/>
        </w:rPr>
        <w:t xml:space="preserve">Stand: 10.06.2019 (konsolidierte Textfassung, kein amtliches Inkrafttretensdatum)</w:t>
      </w:r>
    </w:p>
    <w:p>
      <w:r>
        <w:t xml:space="preserve">(1) Die Grundlage für die Bewertung bildet der zukünftig nachhaltig zu erzielende Jahresertrag. Für die Ermittlung dieses Jahresertrags bietet der in der Vergangenheit tatsächlich erzielte Durchschnittsertrag eine Beurteilungsgrundlage.</w:t>
      </w:r>
    </w:p>
    <w:p>
      <w:r>
        <w:t xml:space="preserve">(2) Der Durchschnittsertrag ist regelmäßig aus den Betriebsergebnissen (§ 202) der letzten drei vor dem Bewertungsstichtag abgelaufenen Wirtschaftsjahre herzuleiten. Das gesamte Betriebsergebnis eines am Bewertungsstichtag noch nicht abgelaufenen Wirtschaftsjahres ist anstelle des drittletzten abgelaufenen Wirtschaftsjahres einzubeziehen, wenn es für die Herleitung des künftig zu erzielenden Jahresertrags von Bedeutung ist. Die Summe der Betriebsergebnisse ist durch drei zu dividieren und ergibt den Durchschnittsertrag. Das Ergebnis stellt den Jahresertrag dar.</w:t>
      </w:r>
    </w:p>
    <w:p>
      <w:r>
        <w:t xml:space="preserve">(3) Hat sich im Dreijahreszeitraum der Charakter des Unternehmens nach dem Gesamtbild der Verhältnisse nachhaltig verändert oder ist das Unternehmen neu entstanden, ist von einem entsprechend verkürzten Ermittlungszeitraum auszugehen. Bei Unternehmen, die durch Umwandlung, durch Einbringung von Betrieben oder Teilbetrieben oder durch Umstrukturierungen entstanden sind, ist bei der Ermittlung des Durchschnittsertrags von den früheren Betriebsergebnissen des Gewerbebetriebs oder der Gesellschaft auszugehen. Soweit sich die Änderung der Rechtsform auf den Jahresertrag auswirkt, sind die früheren Betriebsergebnisse entsprechend zu korrigieren.</w:t>
      </w:r>
    </w:p>
    <w:p>
      <w:r>
        <w:rPr>
          <w:color w:val="555555"/>
          <w:sz w:val="17"/>
        </w:rPr>
        <w:t xml:space="preserve">Zitiervorschlag: § 201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