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199 BewG — Anwendung des vereinfachten Ertragswertverfahrens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der gemeine Wert von Anteilen an einer Kapitalgesellschaft nach § 11 Abs. 2 Satz 2 unter Berücksichtigung der Ertragsaussichten der Kapitalgesellschaft zu ermitteln, kann das vereinfachte Ertragswertverfahren (§ 200) angewendet werden, wenn dieses nicht zu offensichtlich unzutreffenden Ergebnissen führt.</w:t>
      </w:r>
    </w:p>
    <w:p>
      <w:r>
        <w:t xml:space="preserve">(2) Ist der gemeine Wert des Betriebsvermögens oder eines Anteils am Betriebsvermögen nach § 109 Abs. 1 und 2 in Verbindung mit § 11 Abs. 2 Satz 2 unter Berücksichtigung der Ertragsaussichten des Gewerbebetriebs oder der Gesellschaft zu ermitteln, kann das vereinfachte Ertragswertverfahren (§ 200) angewendet werden, wenn dieses nicht zu offensichtlich unzutreffenden Ergebnissen führt.</w:t>
      </w:r>
    </w:p>
    <w:p>
      <w:r>
        <w:rPr>
          <w:color w:val="555555"/>
          <w:sz w:val="17"/>
        </w:rPr>
        <w:t xml:space="preserve">Zitiervorschlag: § 199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