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197 BewG — Gebäude und Gebäudeteile für den Zivilschutz</w:t>
      </w:r>
    </w:p>
    <w:p>
      <w:r>
        <w:rPr>
          <w:color w:val="555555"/>
          <w:sz w:val="18"/>
        </w:rPr>
        <w:t xml:space="preserve">Bewertungsgesetz</w:t>
      </w:r>
    </w:p>
    <w:p>
      <w:r>
        <w:rPr>
          <w:color w:val="555555"/>
          <w:sz w:val="18"/>
        </w:rPr>
        <w:t xml:space="preserve">Stand: 10.06.2019 (konsolidierte Textfassung, kein amtliches Inkrafttretensdatum)</w:t>
      </w:r>
    </w:p>
    <w:p>
      <w:r>
        <w:t xml:space="preserve">Gebäude, Teile von Gebäuden und Anlagen, die wegen der in § 1 des Zivilschutzgesetzes vom 25. März 1997 (BGBl. I S. 726), das zuletzt durch Artikel 2 des Gesetzes vom 27. April 2004 (BGBl. I S. 630) geändert worden ist, in der jeweils geltenden Fassung bezeichneten Zwecke geschaffen worden sind und im Frieden nicht oder nur gelegentlich oder geringfügig für andere Zwecke benutzt werden, bleiben bei der Ermittlung des Grundbesitzwerts außer Betracht.</w:t>
      </w:r>
    </w:p>
    <w:p>
      <w:r>
        <w:rPr>
          <w:color w:val="555555"/>
          <w:sz w:val="17"/>
        </w:rPr>
        <w:t xml:space="preserve">Zitiervorschlag: § 197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