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 BewG — Bewertung des Erbbaurechts</w:t>
      </w:r>
    </w:p>
    <w:p>
      <w:r>
        <w:rPr>
          <w:color w:val="555555"/>
          <w:sz w:val="18"/>
        </w:rPr>
        <w:t xml:space="preserve">Bewertungsgesetz</w:t>
      </w:r>
    </w:p>
    <w:p>
      <w:r>
        <w:rPr>
          <w:color w:val="555555"/>
          <w:sz w:val="18"/>
        </w:rPr>
        <w:t xml:space="preserve">Stand: 23.12.2022 (konsolidierte Textfassung, kein amtliches Inkrafttretensdatum)</w:t>
      </w:r>
    </w:p>
    <w:p>
      <w:r>
        <w:t xml:space="preserve">(1) Der Wert des Erbbaurechts ist durch Multiplikation des Werts des unbelasteten Grundstücks mit einem Erbbaurechtskoeffizienten zu ermitteln. Anzuwenden sind die von den Gutachterausschüssen im Sinne der §§ 192 ff. des Baugesetzbuchs ermittelten Erbbaurechtskoeffizienten nach Maßgabe des § 177 Absatz 2 und 3. Der Wert des unbelasteten Grundstücks ist der Wert des Grundstücks, der nach den §§ 179, 182 bis 196 festzustellen wäre, wenn die Belastung mit dem Erbbaurecht nicht bestünde.</w:t>
      </w:r>
    </w:p>
    <w:p>
      <w:r>
        <w:t xml:space="preserve">(2) Der Wert des Erbbaurechts ist durch Multiplikation des nach den Absätzen 3 bis 5 ermittelten Werts mit einem Erbbaurechtsfaktor zu ermitteln, wenn für das zu bewertende Erbbaurecht kein Erbbaurechtskoeffizient nach Absatz 1 vorliegt. Anzuwenden sind die von den Gutachterausschüssen im Sinne der §§ 192 ff. des Baugesetzbuchs ermittelten Erbbaurechtsfaktoren nach Maßgabe des § 177 Absatz 2 und 3. Soweit derartige Erbbaurechtsfaktoren nicht zur Verfügung stehen, gilt der Erbbaurechtsfaktor 1,0.</w:t>
      </w:r>
    </w:p>
    <w:p>
      <w:r>
        <w:t xml:space="preserve">(3) Zur Ermittlung des Werts des Erbbaurechts wird zunächst die Summe aus</w:t>
      </w:r>
    </w:p>
    <w:p>
      <w:pPr>
        <w:ind w:left="420"/>
      </w:pPr>
      <w:r>
        <w:t xml:space="preserve">1. dem Wert des unbelasteten Grundstücks im Sinne des Absatzes 1 Satz 3 abzüglich des Bodenwerts des unbelasteten Grundstücks nach § 179 und</w:t>
      </w:r>
    </w:p>
    <w:p>
      <w:pPr>
        <w:ind w:left="420"/>
      </w:pPr>
      <w:r>
        <w:t xml:space="preserve">2. der nach Absatz 4 über die Restlaufzeit des Erbbaurechts kapitalisierten Differenz aus dem angemessenen Verzinsungsbetrag des Bodenwerts des unbelasteten Grundstücks und dem vertraglich vereinbarten jährlichen Erbbauzins</w:t>
      </w:r>
    </w:p>
    <w:p>
      <w:r>
        <w:t xml:space="preserve">gebildet. Ein bei Ablauf des Erbbaurechts nicht zu entschädigender Wertanteil der Gebäude oder des Gebäudes nach Absatz 5 ist abzuziehen.</w:t>
      </w:r>
    </w:p>
    <w:p>
      <w:r>
        <w:t xml:space="preserve">(4) Der Unterschiedsbetrag aus dem angemessenen Verzinsungsbetrag des Bodenwerts des unbelasteten Grundstücks und dem vertraglich vereinbarten jährlichen Erbbauzins ist über die Restlaufzeit des Erbbaurechts mit dem sich aus Anlage 21 ergebenden Vervielfältiger zu kapitalisieren. Für die Kapitalisierung sind die Zinssätze zu verwenden, die der Ermittlung des Erbbaurechtsfaktors im Sinne des Absatzes 2 Satz 2 zugrunde gelegt wurden. Soweit derartige Zinssätze nicht zur Verfügung stehen, gelten folgende Zinssätze:</w:t>
      </w:r>
    </w:p>
    <w:p>
      <w:pPr>
        <w:ind w:left="420"/>
      </w:pPr>
      <w:r>
        <w:t xml:space="preserve">1. 2,5 Prozent für Ein- und Zweifamilienhäuser und Wohnungseigentum, das wie Ein- und Zweifamilienhäuser gestaltet ist,</w:t>
      </w:r>
    </w:p>
    <w:p>
      <w:pPr>
        <w:ind w:left="420"/>
      </w:pPr>
      <w:r>
        <w:t xml:space="preserve">2. 3,5 Prozent für Mietwohngrundstücke und Wohnungseigentum, das nicht unter Nummer 1 fällt,</w:t>
      </w:r>
    </w:p>
    <w:p>
      <w:pPr>
        <w:ind w:left="420"/>
      </w:pPr>
      <w:r>
        <w:t xml:space="preserve">3. 4,5 Prozent für gemischt genutzte Grundstücke mit einem gewerblichen Anteil von bis zu 50 Prozent, berechnet nach der Wohn- und Nutzfläche, sowie sonstige bebaute Grundstücke,</w:t>
      </w:r>
    </w:p>
    <w:p>
      <w:pPr>
        <w:ind w:left="420"/>
      </w:pPr>
      <w:r>
        <w:t xml:space="preserve">4. 5,0 Prozent für gemischt genutzte Grundstücke mit einem gewerblichen Anteil von mehr als 50 Prozent, berechnet nach der Wohn- und Nutzfläche, und</w:t>
      </w:r>
    </w:p>
    <w:p>
      <w:pPr>
        <w:ind w:left="420"/>
      </w:pPr>
      <w:r>
        <w:t xml:space="preserve">5. 6,0 Prozent für Geschäftsgrundstücke und Teileigentum.</w:t>
      </w:r>
    </w:p>
    <w:p>
      <w:r>
        <w:t xml:space="preserve">Der angemessene Verzinsungsbetrag des Bodenwerts des unbelasteten Grundstücks ergibt sich durch Anwendung des Zinssatzes nach Satz 2 oder 3 auf den Bodenwert nach § 179. Liegt ein immerwährendes Erbbaurecht vor, entspricht der Vervielfältiger dem Kehrwert des nach Satz 2 oder 3 anzuwendenden Zinssatzes.</w:t>
      </w:r>
    </w:p>
    <w:p>
      <w:r>
        <w:t xml:space="preserve">(5) Zur Ermittlung des bei Ablauf des Erbbaurechts nicht zu entschädigenden Wertanteils der Gebäude oder des Gebäudes im Sinne des Absatzes 3 Satz 2 ist auf den Zeitpunkt des Ablaufs des Erbbaurechts die Differenz aus dem Wert des Grundstücks nach den §§ 179, 182 bis 196 und dem Bodenwert nach § 179 zu ermitteln. Hierbei ist die Restnutzungsdauer des Gebäudes bei Ablauf des Erbbaurechts zugrunde zu legen. Der so ermittelte Unterschiedsbetrag ist über die Restlaufzeit des Erbbaurechts nach Maßgabe der Anlage 26 auf den Bewertungsstichtag abzuzinsen. Für die Abzinsung sind die Zinssätze im Sinne des Absatzes 4 Satz 2 oder 3 anzuwenden. Liegt ein immerwährendes Erbbaurecht vor, ist der Abzinsungsfaktor 0. Der auf den Bewertungsstichtag abgezinste Unterschiedsbetrag ist mit dem nicht zu entschädigenden Wertanteil der jeweiligen Gebäude zu multiplizieren.</w:t>
      </w:r>
    </w:p>
    <w:p>
      <w:r>
        <w:rPr>
          <w:color w:val="555555"/>
          <w:sz w:val="17"/>
        </w:rPr>
        <w:t xml:space="preserve">Zitiervorschlag: § 193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