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BewG — Bewertung im Sachwertverfahren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Bei Anwendung des Sachwertverfahrens ist der Wert der Gebäude (Gebäudesachwert) getrennt vom Bodenwert nach § 190 zu ermitteln.</w:t>
      </w:r>
    </w:p>
    <w:p>
      <w:r>
        <w:t xml:space="preserve">(2) Der Bodenwert ist der Wert des unbebauten Grundstücks nach § 179.</w:t>
      </w:r>
    </w:p>
    <w:p>
      <w:r>
        <w:t xml:space="preserve">(3) Der Bodenwert und der Gebäudesachwert (§ 190) ergeben den vorläufigen Sachwert des Grundstücks. Dieser ist zur Anpassung an den gemeinen Wert mit einer Wertzahl nach § 191 zu multiplizieren.</w:t>
      </w:r>
    </w:p>
    <w:p>
      <w:r>
        <w:t xml:space="preserve">(4) Der Wert der baulichen Außenanlagen und sonstigen Anlagen ist grundsätzlich mit dem nach den Absätzen 1 bis 3 ermittelten Sachwert abgegolten. Dies gilt nicht bei besonders werthaltigen baulichen Außenanlagen und sonstigen Anlagen.</w:t>
      </w:r>
    </w:p>
    <w:p>
      <w:r>
        <w:rPr>
          <w:color w:val="555555"/>
          <w:sz w:val="17"/>
        </w:rPr>
        <w:t xml:space="preserve">Zitiervorschlag: § 189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