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187 BewG — Bewirtschaftungskosten</w:t>
      </w:r>
    </w:p>
    <w:p>
      <w:r>
        <w:rPr>
          <w:color w:val="555555"/>
          <w:sz w:val="18"/>
        </w:rPr>
        <w:t xml:space="preserve">Bewertungsgesetz</w:t>
      </w:r>
    </w:p>
    <w:p>
      <w:r>
        <w:rPr>
          <w:color w:val="555555"/>
          <w:sz w:val="18"/>
        </w:rPr>
        <w:t xml:space="preserve">Stand: 23.12.2022 (konsolidierte Textfassung, kein amtliches Inkrafttretensdatum)</w:t>
      </w:r>
    </w:p>
    <w:p>
      <w:r>
        <w:t xml:space="preserve">(1) Bewirtschaftungskosten sind die bei gewöhnlicher Bewirtschaftung nachhaltig entstehenden Verwaltungskosten, Betriebskosten, Instandhaltungskosten und das Mietausfallwagnis; durch Umlagen gedeckte Betriebskosten bleiben unberücksichtigt.</w:t>
      </w:r>
    </w:p>
    <w:p>
      <w:r>
        <w:t xml:space="preserve">(2) Anzusetzen sind die nach Absatz 3 an den Bewertungsstichtag angepassten Bewirtschaftungskosten aus Anlage 23.</w:t>
      </w:r>
    </w:p>
    <w:p>
      <w:r>
        <w:t xml:space="preserve">(3) Die Verwaltungskosten und Instandhaltungskosten für Wohnnutzung in Anlage 23 sind jährlich an den vom Statistischen Bundesamt festgestellten Verbraucherpreisindex für Deutschland anzupassen. Die Anpassung erfolgt mit dem Prozentsatz, um den sich der Verbraucherpreisindex für den Monat Oktober 2001 gegenüber demjenigen für den Monat Oktober des Jahres, das dem Bewertungsstichtag vorausgeht, erhöht oder verringert hat. Die indizierten Bewirtschaftungskosten sind für alle Bewertungsstichtage des Kalenderjahres anzuwenden. Das Bundesministerium der Finanzen veröffentlicht den maßgebenden Verbraucherpreisindex im Bundessteuerblatt.</w:t>
      </w:r>
    </w:p>
    <w:p>
      <w:r>
        <w:rPr>
          <w:color w:val="555555"/>
          <w:sz w:val="17"/>
        </w:rPr>
        <w:t xml:space="preserve">Zitiervorschlag: § 187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