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185 BewG — Ermittlung des Gebäudeertragswerts</w:t>
      </w:r>
    </w:p>
    <w:p>
      <w:r>
        <w:rPr>
          <w:color w:val="555555"/>
          <w:sz w:val="18"/>
        </w:rPr>
        <w:t xml:space="preserve">Bewertungsgesetz</w:t>
      </w:r>
    </w:p>
    <w:p>
      <w:r>
        <w:rPr>
          <w:color w:val="555555"/>
          <w:sz w:val="18"/>
        </w:rPr>
        <w:t xml:space="preserve">Stand: 23.12.2022 (konsolidierte Textfassung, kein amtliches Inkrafttretensdatum)</w:t>
      </w:r>
    </w:p>
    <w:p>
      <w:r>
        <w:t xml:space="preserve">(1) Bei der Ermittlung des Gebäudeertragswerts ist von dem Reinertrag des Grundstücks auszugehen. Dieser ergibt sich aus dem Rohertrag des Grundstücks (§ 186) abzüglich der Bewirtschaftungskosten (§ 187).</w:t>
      </w:r>
    </w:p>
    <w:p>
      <w:r>
        <w:t xml:space="preserve">(2) Der Reinertrag des Grundstücks ist um den Betrag zu vermindern, der sich durch eine angemessene Verzinsung des Bodenwerts ergibt; dies ergibt den Gebäudereinertrag. Der Verzinsung des Bodenwerts ist der Liegenschaftszinssatz (§ 188) zu Grunde zu legen. Ist das Grundstück wesentlich größer, als es einer den Gebäuden angemessenen Nutzung entspricht, und ist eine zusätzliche Nutzung oder Verwertung einer Teilfläche zulässig und möglich, ist bei der Berechnung des Verzinsungsbetrags der Bodenwert dieser Teilfläche nicht zu berücksichtigen.</w:t>
      </w:r>
    </w:p>
    <w:p>
      <w:r>
        <w:t xml:space="preserve">(3) Der Gebäudereinertrag ist mit dem sich aus der Anlage 21 ergebenden Vervielfältiger zu kapitalisieren. Maßgebend für den Vervielfältiger sind der Liegenschaftszinssatz und die Restnutzungsdauer des Gebäudes. Die Restnutzungsdauer wird grundsätzlich aus dem Unterschiedsbetrag zwischen der wirtschaftlichen Gesamtnutzungsdauer, die sich aus der Anlage 22 ergibt, und dem Alter des Gebäudes am Bewertungsstichtag ermittelt. Das Alter des Gebäudes ist durch Abzug des Jahres der Bezugsfertigkeit des Gebäudes vom Jahr des Bewertungsstichtags zu bestimmen. Sind nach Bezugsfertigkeit des Gebäudes Veränderungen eingetreten, die die Restnutzungsdauer des Gebäudes wesentlich verlängert haben, ist von der entsprechend verlängerten Restnutzungsdauer auszugehen. Die Restnutzungsdauer eines noch nutzbaren Gebäudes beträgt vorbehaltlich des Satzes 7 mindestens 30 Prozent der Gesamtnutzungsdauer. Bei einer bestehenden Abbruchverpflichtung für das Gebäude ist die nach den Sätzen 3 bis 6 ermittelte Restnutzungsdauer auf den Unterschiedsbetrag zwischen der tatsächlichen Gesamtnutzungsdauer und dem Alter des Gebäudes am Bewertungsstichtag begrenzt.</w:t>
      </w:r>
    </w:p>
    <w:p>
      <w:r>
        <w:rPr>
          <w:color w:val="555555"/>
          <w:sz w:val="17"/>
        </w:rPr>
        <w:t xml:space="preserve">Zitiervorschlag: § 185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