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183 BewG — Bewertung im Vergleichswertverfahren</w:t>
      </w:r>
    </w:p>
    <w:p>
      <w:r>
        <w:rPr>
          <w:color w:val="555555"/>
          <w:sz w:val="18"/>
        </w:rPr>
        <w:t xml:space="preserve">Bewertungsgesetz</w:t>
      </w:r>
    </w:p>
    <w:p>
      <w:r>
        <w:rPr>
          <w:color w:val="555555"/>
          <w:sz w:val="18"/>
        </w:rPr>
        <w:t xml:space="preserve">Stand: 12.12.2024 (konsolidierte Textfassung, kein amtliches Inkrafttretensdatum)</w:t>
      </w:r>
    </w:p>
    <w:p>
      <w:r>
        <w:t xml:space="preserve">(1) Bei Anwendung des Vergleichswertverfahrens sind Kaufpreise von Grundstücken heranzuziehen, die hinsichtlich der ihren Wert beeinflussenden Merkmale mit dem zu bewertenden Grundstück hinreichend übereinstimmen (Vergleichsgrundstücke). Grundlage sind vorrangig die von den Gutachterausschüssen im Sinne der §§ 192 ff. des Baugesetzbuchs mitgeteilten Vergleichspreise.</w:t>
      </w:r>
    </w:p>
    <w:p>
      <w:r>
        <w:t xml:space="preserve">(2) Anstelle von Preisen für Vergleichsgrundstücke können von den Gutachterausschüssen für geeignete Bezugseinheiten, insbesondere Flächeneinheiten des Gebäudes, ermittelte und mitgeteilte Vergleichsfaktoren herangezogen werden. Bei Verwendung von Vergleichsfaktoren, die sich nur auf das Gebäude beziehen, ist der Bodenwert nach § 179 gesondert zu berücksichtigen. Anzuwenden sind die von den Gutachterausschüssen ermittelten Vergleichsfaktoren nach Maßgabe des § 177 Absatz 2 und 3.</w:t>
      </w:r>
    </w:p>
    <w:p>
      <w:r>
        <w:t xml:space="preserve">(3) (weggefallen)</w:t>
      </w:r>
    </w:p>
    <w:p>
      <w:r>
        <w:rPr>
          <w:color w:val="555555"/>
          <w:sz w:val="17"/>
        </w:rPr>
        <w:t xml:space="preserve">Zitiervorschlag: § 183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https://recht.nulegal.eu/gesetze/BewG/183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