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BewG — Vermögensarten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Das Vermögen, das nach den Vorschriften des Zweiten Teils dieses Gesetzes zu bewerten ist, umfaßt die folgenden Vermögensarten:</w:t>
      </w:r>
    </w:p>
    <w:p>
      <w:pPr>
        <w:ind w:left="420"/>
      </w:pPr>
      <w:r>
        <w:t xml:space="preserve">1. Land- und forstwirtschaftliches Vermögen,</w:t>
      </w:r>
    </w:p>
    <w:p>
      <w:pPr>
        <w:ind w:left="420"/>
      </w:pPr>
      <w:r>
        <w:t xml:space="preserve">2. Grundvermögen,</w:t>
      </w:r>
    </w:p>
    <w:p>
      <w:pPr>
        <w:ind w:left="420"/>
      </w:pPr>
      <w:r>
        <w:t xml:space="preserve">3. Betriebsvermögen.</w:t>
      </w:r>
    </w:p>
    <w:p>
      <w:r>
        <w:rPr>
          <w:color w:val="555555"/>
          <w:sz w:val="17"/>
        </w:rPr>
        <w:t xml:space="preserve">Zitiervorschlag: § 18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