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174 BewG — Abweichende Bewertungsverhältnisse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 Anbau von Baumschulgewächsen genutzte Betriebsfläche wird nach § 161 Abs. 1 bestimmt. Dabei sind die zum 15. September feststellbaren Bewirtschaftungsverhältnisse zu Grunde zu legen, die dem Bewertungsstichtag vorangegangen sind.</w:t>
      </w:r>
    </w:p>
    <w:p>
      <w:r>
        <w:t xml:space="preserve">(2) Die durch Anbau von Gemüse, Blumen und Zierpflanzen genutzte Betriebsfläche wird nach § 161 Abs. 1 bestimmt. Dabei sind die zum 30. Juni feststellbaren Bewirtschaftungsverhältnisse zu Grunde zu legen, die dem Bewertungsstichtag vorangegangen sind.</w:t>
      </w:r>
    </w:p>
    <w:p>
      <w:r>
        <w:t xml:space="preserve">(3) Sind die Bewirtschaftungsverhältnisse nicht feststellbar, richtet sich die Einordnung der Flächen nach der vorgesehenen Nutzung.</w:t>
      </w:r>
    </w:p>
    <w:p>
      <w:r>
        <w:rPr>
          <w:color w:val="555555"/>
          <w:sz w:val="17"/>
        </w:rPr>
        <w:t xml:space="preserve">Zitiervorschlag: § 174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