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173 BewG — Umlaufende Betriebsmittel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ausbauenden Betrieben zählen die Vorräte an Weinen aus den Ernten der letzten fünf Jahre vor dem Bewertungsstichtag zum normalen Bestand an umlaufenden Betriebsmitteln.</w:t>
      </w:r>
    </w:p>
    <w:p>
      <w:r>
        <w:t xml:space="preserve">(2) Abschläge für Unterbestand an Weinvorräten sind nicht zu machen.</w:t>
      </w:r>
    </w:p>
    <w:p>
      <w:r>
        <w:rPr>
          <w:color w:val="555555"/>
          <w:sz w:val="17"/>
        </w:rPr>
        <w:t xml:space="preserve">Zitiervorschlag: § 173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