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BewG — Geltungsbereich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besonderen Bewertungsvorschriften sind nach Maßgabe der jeweiligen Einzelsteuergesetze anzuwenden.</w:t>
      </w:r>
    </w:p>
    <w:p>
      <w:r>
        <w:t xml:space="preserve">(2) Soweit sich nicht aus den §§ 20 bis 266 etwas anderes ergibt, finden neben diesen auch die Vorschriften des Ersten Teils des Gesetzes (§§ 1 bis 16) Anwendung. § 16 findet auf die Grunderwerbsteuer keine Anwendung.</w:t>
      </w:r>
    </w:p>
    <w:p>
      <w:r>
        <w:rPr>
          <w:color w:val="555555"/>
          <w:sz w:val="17"/>
        </w:rPr>
        <w:t xml:space="preserve">Zitiervorschlag: § 17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