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BewG — Grundbesitzwert des Betriebs der Land- und Forstwirtschaft</w:t>
      </w:r>
    </w:p>
    <w:p>
      <w:r>
        <w:rPr>
          <w:color w:val="555555"/>
          <w:sz w:val="18"/>
        </w:rPr>
        <w:t xml:space="preserve">Bewertungsgesetz</w:t>
      </w:r>
    </w:p>
    <w:p>
      <w:r>
        <w:rPr>
          <w:color w:val="555555"/>
          <w:sz w:val="18"/>
        </w:rPr>
        <w:t xml:space="preserve">Stand: 10.06.2019 (konsolidierte Textfassung, kein amtliches Inkrafttretensdatum)</w:t>
      </w:r>
    </w:p>
    <w:p>
      <w:r>
        <w:t xml:space="preserve">(1) Der Grundbesitzwert eines Betriebs der Land- und Forstwirtschaft besteht aus</w:t>
      </w:r>
    </w:p>
    <w:p>
      <w:pPr>
        <w:ind w:left="420"/>
      </w:pPr>
      <w:r>
        <w:t xml:space="preserve">1. dem Wert des Wirtschaftsteils (§ 160 Abs. 2),</w:t>
      </w:r>
    </w:p>
    <w:p>
      <w:pPr>
        <w:ind w:left="420"/>
      </w:pPr>
      <w:r>
        <w:t xml:space="preserve">2. dem Wert der Betriebswohnungen (§ 160 Abs. 8) abzüglich der damit im unmittelbaren wirtschaftlichen Zusammenhang stehenden Verbindlichkeiten,</w:t>
      </w:r>
    </w:p>
    <w:p>
      <w:pPr>
        <w:ind w:left="420"/>
      </w:pPr>
      <w:r>
        <w:t xml:space="preserve">3. dem Wert des Wohnteils (§ 160 Abs. 9) abzüglich der damit im unmittelbaren wirtschaftlichen Zusammenhang stehenden Verbindlichkeiten.</w:t>
      </w:r>
    </w:p>
    <w:p>
      <w:r>
        <w:t xml:space="preserve">(2) Der Grundbesitzwert für Stückländereien als Betrieb der Land- und Forstwirtschaft (§ 160 Abs. 7) besteht nur aus dem Wert des Wirtschaftsteils.</w:t>
      </w:r>
    </w:p>
    <w:p>
      <w:r>
        <w:t xml:space="preserve">(3) Der Grundbesitzwert für einen Anteil an einem Betrieb der Land- und Forstwirtschaft im Sinne des § 158 Abs. 2 Satz 2 ist nach den Absätzen 4 bis 6 aufzuteilen.</w:t>
      </w:r>
    </w:p>
    <w:p>
      <w:r>
        <w:t xml:space="preserve">(4) Der Wert des Wirtschafteils ist nach den beim Mindestwert (§ 164) zu Grunde gelegten Verhältnissen aufzuteilen. Dabei ist</w:t>
      </w:r>
    </w:p>
    <w:p>
      <w:pPr>
        <w:ind w:left="420"/>
      </w:pPr>
      <w:r>
        <w:t xml:space="preserve">1. der Wert des Grund und Bodens und der Wirtschaftsgebäude oder ein Anteil daran (§ 158 Abs. 3 Satz 1 Nr. 1 und 2) dem jeweiligen Eigentümer zuzurechnen. Im Falle des Gesamthandseigentums ist der Wert des Grund und Bodens nach der Höhe der gesellschaftsrechtlichen Beteiligung aufzuteilen;</w:t>
      </w:r>
    </w:p>
    <w:p>
      <w:pPr>
        <w:ind w:left="420"/>
      </w:pPr>
      <w:r>
        <w:t xml:space="preserve">2. der Wert der übrigen Wirtschaftsgüter (§ 158 Abs. 3 Satz 1 Nr. 3 bis 5) nach dem Wertverhältnis der dem Betrieb zur Verfügung gestellten Wirtschaftsgüter aufzuteilen. Im Falle des Gesamthandseigentums ist der Wert der übrigen Wirtschaftsgüter nach der Höhe der gesellschaftsrechtlichen Beteiligung aufzuteilen;</w:t>
      </w:r>
    </w:p>
    <w:p>
      <w:pPr>
        <w:ind w:left="420"/>
      </w:pPr>
      <w:r>
        <w:t xml:space="preserve">3. der Wert der zu berücksichtigenden Verbindlichkeiten (§ 164 Abs. 4) dem jeweiligen Schuldner zuzurechnen. Im Falle des Gesamthandseigentums ist der Wert der zu berücksichtigenden Verbindlichkeiten nach der Höhe der gesellschaftsrechtlichen Beteiligung aufzuteilen.</w:t>
      </w:r>
    </w:p>
    <w:p>
      <w:r>
        <w:t xml:space="preserve">(5) Der Wert für die Betriebswohnungen ist dem jeweiligen Eigentümer zuzurechnen. Im Falle des Gesamthandseigentums ist der Wert nach der Höhe der gesellschaftsrechtlichen Beteiligung aufzuteilen.</w:t>
      </w:r>
    </w:p>
    <w:p>
      <w:r>
        <w:t xml:space="preserve">(6) Der Wert für den Wohnteil ist dem jeweiligen Eigentümer zuzurechnen. Im Falle des Gesamthandseigentums ist der Wert nach der Höhe der gesellschaftsrechtlichen Beteiligung aufzuteilen.</w:t>
      </w:r>
    </w:p>
    <w:p>
      <w:r>
        <w:rPr>
          <w:color w:val="555555"/>
          <w:sz w:val="17"/>
        </w:rPr>
        <w:t xml:space="preserve">Zitiervorschlag: § 168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