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166 BewG — Bewertung des Wirtschaftsteils mit dem Liquidationswert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Falle des § 162 Abs. 3 oder Abs. 4 ist der Liquidationswert nach Absatz 2 zu ermitteln und tritt mit Wirkung für die Vergangenheit an die Stelle des bisherigen Wertansatzes.</w:t>
      </w:r>
    </w:p>
    <w:p>
      <w:r>
        <w:t xml:space="preserve">(2) Bei der Ermittlung des jeweiligen Liquidationswerts nach Absatz 1</w:t>
      </w:r>
    </w:p>
    <w:p>
      <w:pPr>
        <w:ind w:left="420"/>
      </w:pPr>
      <w:r>
        <w:t xml:space="preserve">1. ist der Grund und Boden im Sinne des § 158 Abs. 3 Satz 1 Nr. 1 mit den zuletzt vor dem Bewertungsstichtag ermittelten Bodenrichtwerten zu bewerten. § 179 Satz 2 bis 4 gilt entsprechend. Zur Berücksichtigung der Liquidationskosten ist der ermittelte Bodenwert um 10 Prozent zu mindern;</w:t>
      </w:r>
    </w:p>
    <w:p>
      <w:pPr>
        <w:ind w:left="420"/>
      </w:pPr>
      <w:r>
        <w:t xml:space="preserve">2. sind die übrigen Wirtschaftsgüter im Sinne des § 158 Abs. 3 Satz 1 Nr. 2 bis 5 mit ihrem gemeinen Wert zu bewerten. Zur Berücksichtigung der Liquidationskosten sind die ermittelten Werte um 10 Prozent zu mindern.</w:t>
      </w:r>
    </w:p>
    <w:p>
      <w:r>
        <w:rPr>
          <w:color w:val="555555"/>
          <w:sz w:val="17"/>
        </w:rPr>
        <w:t xml:space="preserve">Zitiervorschlag: § 166 BewG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https://recht.nulegal.eu/gesetze/BewG/166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