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165 BewG — Bewertung des Wirtschaftsteils mit dem Fortführungswert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Wert des Wirtschaftsteils wird aus der Summe der nach § 163 zu ermittelnden Wirtschaftswerte gebildet.</w:t>
      </w:r>
    </w:p>
    <w:p>
      <w:r>
        <w:t xml:space="preserve">(2) Der für einen Betrieb der Land- und Forstwirtschaft anzusetzende Wert des Wirtschaftsteils darf nicht geringer sein als der nach § 164 ermittelte Mindestwert.</w:t>
      </w:r>
    </w:p>
    <w:p>
      <w:r>
        <w:t xml:space="preserve">(3) Weist der Steuerpflichtige nach, dass der gemeine Wert des Wirtschaftsteils niedriger ist als der nach den Absätzen 1 und 2 ermittelte Wert, ist dieser Wert anzusetzen; § 166 ist zu beachten.</w:t>
      </w:r>
    </w:p>
    <w:p>
      <w:r>
        <w:rPr>
          <w:color w:val="555555"/>
          <w:sz w:val="17"/>
        </w:rPr>
        <w:t xml:space="preserve">Zitiervorschlag: § 165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