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BewG — Bewertung des Wirtschaftsteils</w:t>
      </w:r>
    </w:p>
    <w:p>
      <w:r>
        <w:rPr>
          <w:color w:val="555555"/>
          <w:sz w:val="18"/>
        </w:rPr>
        <w:t xml:space="preserve">Bewertungsgesetz</w:t>
      </w:r>
    </w:p>
    <w:p>
      <w:r>
        <w:rPr>
          <w:color w:val="555555"/>
          <w:sz w:val="18"/>
        </w:rPr>
        <w:t xml:space="preserve">Stand: 10.06.2019 (konsolidierte Textfassung, kein amtliches Inkrafttretensdatum)</w:t>
      </w:r>
    </w:p>
    <w:p>
      <w:r>
        <w:t xml:space="preserve">(1) Bei der Bewertung des Wirtschaftsteils ist der gemeine Wert zu Grunde zu legen. Dabei ist davon auszugehen, dass der Erwerber den Betrieb der Land- und Forstwirtschaft fortführt. Bei der Ermittlung des gemeinen Werts für den Wirtschaftsteil sind die land- und forstwirtschaftlichen Nutzungen, die Nebenbetriebe, das Abbau-, Geringst- und Unland jeweils gesondert mit ihrem Wirtschaftswert (§ 163) zu bewerten. Dabei darf ein Mindestwert nicht unterschritten werden (§ 164).</w:t>
      </w:r>
    </w:p>
    <w:p>
      <w:r>
        <w:t xml:space="preserve">(2) Der Wert des Wirtschaftsteils für einen Betrieb der Land- und Forstwirtschaft im Sinne des § 160 Abs. 7 wird nach § 164 ermittelt.</w:t>
      </w:r>
    </w:p>
    <w:p>
      <w:r>
        <w:t xml:space="preserve">(3) Wird ein Betrieb der Land- und Forstwirtschaft oder ein Anteil im Sinne des § 158 Abs. 2 Satz 2 innerhalb eines Zeitraums von 15 Jahren nach dem Bewertungsstichtag veräußert, erfolgt die Bewertung der wirtschaftlichen Einheit abweichend von den §§ 163 und 164 mit dem Liquidationswert nach § 166. Dies gilt nicht, wenn der Veräußerungserlös innerhalb von sechs Monaten ausschließlich zum Erwerb eines anderen Betriebs der Land- und Forstwirtschaft oder eines Anteils im Sinne des § 158 Abs. 2 Satz 2 verwendet wird.</w:t>
      </w:r>
    </w:p>
    <w:p>
      <w:r>
        <w:t xml:space="preserve">(4) Sind wesentliche Wirtschaftsgüter (§ 158 Abs. 3 Satz 1 Nr. 1 bis 3 und 5) dem Betrieb der Land- und Forstwirtschaft innerhalb eines Zeitraumes von 15 Jahren nicht mehr auf Dauer zu dienen bestimmt, erfolgt die Bewertung der Wirtschaftsgüter abweichend von den §§ 163 und 164 mit dem jeweiligen Liquidationswert nach § 166. Dies gilt nicht, wenn der Veräußerungserlös innerhalb von sechs Monaten ausschließlich im betrieblichen Interesse verwendet wird.</w:t>
      </w:r>
    </w:p>
    <w:p>
      <w:r>
        <w:rPr>
          <w:color w:val="555555"/>
          <w:sz w:val="17"/>
        </w:rPr>
        <w:t xml:space="preserve">Zitiervorschlag: § 162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